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2F" w:rsidRPr="00E00982" w:rsidRDefault="00E00982" w:rsidP="006E661B">
      <w:pPr>
        <w:pStyle w:val="Heading1"/>
        <w:spacing w:before="300" w:line="240" w:lineRule="auto"/>
      </w:pPr>
      <w:bookmarkStart w:id="0" w:name="_GoBack"/>
      <w:bookmarkEnd w:id="0"/>
      <w:r>
        <w:t>Policy Statement</w:t>
      </w:r>
    </w:p>
    <w:p w:rsidR="00CF2BAA" w:rsidRPr="00817F7C" w:rsidRDefault="00EB2A2F" w:rsidP="00221548">
      <w:pPr>
        <w:spacing w:after="0"/>
      </w:pPr>
      <w:r w:rsidRPr="00817F7C">
        <w:t>In accordance with Or</w:t>
      </w:r>
      <w:r w:rsidR="00F45194">
        <w:t>dinance 119603, Executive Order</w:t>
      </w:r>
      <w:r w:rsidRPr="00817F7C">
        <w:t xml:space="preserve"> </w:t>
      </w:r>
      <w:r w:rsidR="00811106" w:rsidRPr="00817F7C">
        <w:t>2010-05</w:t>
      </w:r>
      <w:r w:rsidRPr="00817F7C">
        <w:t xml:space="preserve">, and Seattle Municipal Code 20.42, the </w:t>
      </w:r>
      <w:r w:rsidR="00E954D9">
        <w:t>C</w:t>
      </w:r>
      <w:r w:rsidR="00E954D9" w:rsidRPr="00135EE3">
        <w:t xml:space="preserve">ity </w:t>
      </w:r>
      <w:r w:rsidRPr="00135EE3">
        <w:t xml:space="preserve">encourages all of its </w:t>
      </w:r>
      <w:r w:rsidR="00135EE3" w:rsidRPr="00135EE3">
        <w:t>d</w:t>
      </w:r>
      <w:r w:rsidRPr="00135EE3">
        <w:t>epartments to be inclusive</w:t>
      </w:r>
      <w:r w:rsidRPr="00817F7C">
        <w:t xml:space="preserve"> of underrepresented business communities, and strives to use all legal means to see that minority-owned and women-owned businesses do not face unfair bar</w:t>
      </w:r>
      <w:r w:rsidR="00D96691">
        <w:t>riers in their competition for c</w:t>
      </w:r>
      <w:r w:rsidRPr="00817F7C">
        <w:t xml:space="preserve">ity contracts and in their successful performance of those contracts.  </w:t>
      </w:r>
      <w:r w:rsidR="002E3DEC" w:rsidRPr="00817F7C">
        <w:t>Any voluntary targets</w:t>
      </w:r>
      <w:r w:rsidRPr="00817F7C">
        <w:t xml:space="preserve"> established in </w:t>
      </w:r>
      <w:r w:rsidR="002E3DEC" w:rsidRPr="00817F7C">
        <w:t>a Department Outreach P</w:t>
      </w:r>
      <w:r w:rsidRPr="00817F7C">
        <w:t>lan shall be reasonably achievable</w:t>
      </w:r>
      <w:r w:rsidR="0042122F">
        <w:t xml:space="preserve">. </w:t>
      </w:r>
      <w:r w:rsidRPr="00817F7C">
        <w:t xml:space="preserve"> </w:t>
      </w:r>
      <w:r w:rsidR="0042122F">
        <w:t>H</w:t>
      </w:r>
      <w:r w:rsidRPr="00817F7C">
        <w:t xml:space="preserve">owever, no utilization requirements shall be a condition of contracting, except as may be allowed </w:t>
      </w:r>
      <w:r w:rsidR="000B55A1" w:rsidRPr="00817F7C">
        <w:t xml:space="preserve">under </w:t>
      </w:r>
      <w:r w:rsidRPr="00817F7C">
        <w:t>RCW 49.60.400.</w:t>
      </w:r>
    </w:p>
    <w:p w:rsidR="0057225D" w:rsidRPr="00E00982" w:rsidRDefault="00E00982" w:rsidP="006E661B">
      <w:pPr>
        <w:pStyle w:val="Heading1"/>
        <w:spacing w:before="300" w:line="240" w:lineRule="auto"/>
      </w:pPr>
      <w:r>
        <w:t>Introduction</w:t>
      </w:r>
    </w:p>
    <w:p w:rsidR="00016825" w:rsidRPr="00817F7C" w:rsidRDefault="0057225D" w:rsidP="00AF051C">
      <w:pPr>
        <w:rPr>
          <w:b/>
          <w:i/>
        </w:rPr>
      </w:pPr>
      <w:r w:rsidRPr="00951FA6">
        <w:t xml:space="preserve">Ordinance 119603 requires each </w:t>
      </w:r>
      <w:r w:rsidR="00951FA6" w:rsidRPr="00951FA6">
        <w:t>c</w:t>
      </w:r>
      <w:r w:rsidRPr="00951FA6">
        <w:t xml:space="preserve">ity department to develop an annual outreach plan to provide opportunities for minority-owned and women-owned businesses to gain </w:t>
      </w:r>
      <w:r w:rsidR="00951FA6" w:rsidRPr="00951FA6">
        <w:t>c</w:t>
      </w:r>
      <w:r w:rsidRPr="00951FA6">
        <w:t xml:space="preserve">ity </w:t>
      </w:r>
      <w:r w:rsidR="008A758C" w:rsidRPr="00951FA6">
        <w:t>contract and</w:t>
      </w:r>
      <w:r w:rsidRPr="00951FA6">
        <w:t xml:space="preserve"> pur</w:t>
      </w:r>
      <w:r w:rsidR="00817F7C" w:rsidRPr="00951FA6">
        <w:t>chasing opportunities.  The 2013</w:t>
      </w:r>
      <w:r w:rsidRPr="00951FA6">
        <w:t xml:space="preserve"> Outreach Plan summarizes the past performance and the strategies that will guide</w:t>
      </w:r>
      <w:r w:rsidR="006F025D">
        <w:t xml:space="preserve"> the Seattle Department of Transportation (</w:t>
      </w:r>
      <w:r w:rsidRPr="00951FA6">
        <w:t>SDOT</w:t>
      </w:r>
      <w:r w:rsidR="006F025D">
        <w:t>)</w:t>
      </w:r>
      <w:r w:rsidRPr="00951FA6">
        <w:t xml:space="preserve"> in its bu</w:t>
      </w:r>
      <w:r w:rsidR="00817F7C" w:rsidRPr="00951FA6">
        <w:t>siness outreach efforts for 2013</w:t>
      </w:r>
      <w:r w:rsidRPr="00951FA6">
        <w:t>.</w:t>
      </w:r>
      <w:r w:rsidR="0022101D" w:rsidRPr="00951FA6">
        <w:t xml:space="preserve"> </w:t>
      </w:r>
      <w:r w:rsidRPr="00951FA6">
        <w:rPr>
          <w:b/>
          <w:i/>
        </w:rPr>
        <w:t xml:space="preserve">Bobby Forch will </w:t>
      </w:r>
      <w:r w:rsidR="0022101D" w:rsidRPr="00951FA6">
        <w:rPr>
          <w:b/>
          <w:i/>
        </w:rPr>
        <w:t>continue as</w:t>
      </w:r>
      <w:r w:rsidRPr="00951FA6">
        <w:rPr>
          <w:b/>
          <w:i/>
        </w:rPr>
        <w:t xml:space="preserve"> the Department’s representative for the </w:t>
      </w:r>
      <w:r w:rsidR="00951FA6" w:rsidRPr="00951FA6">
        <w:rPr>
          <w:b/>
          <w:i/>
        </w:rPr>
        <w:t>c</w:t>
      </w:r>
      <w:r w:rsidR="00263AAB" w:rsidRPr="00951FA6">
        <w:rPr>
          <w:b/>
          <w:i/>
        </w:rPr>
        <w:t xml:space="preserve">ity </w:t>
      </w:r>
      <w:r w:rsidRPr="00951FA6">
        <w:rPr>
          <w:b/>
          <w:i/>
        </w:rPr>
        <w:t>initiative.</w:t>
      </w:r>
    </w:p>
    <w:p w:rsidR="00CF2BAA" w:rsidRPr="00E00982" w:rsidRDefault="00116051" w:rsidP="00E00982">
      <w:pPr>
        <w:pStyle w:val="Heading3"/>
      </w:pPr>
      <w:r w:rsidRPr="00E00982">
        <w:t>Department Overview</w:t>
      </w:r>
    </w:p>
    <w:p w:rsidR="006F025D" w:rsidRDefault="00CF2BAA" w:rsidP="00EF08CC">
      <w:pPr>
        <w:spacing w:after="40" w:line="240" w:lineRule="auto"/>
      </w:pPr>
      <w:r w:rsidRPr="00817F7C">
        <w:t xml:space="preserve">SDOT </w:t>
      </w:r>
      <w:r w:rsidR="006F025D">
        <w:t xml:space="preserve">is responsible for: </w:t>
      </w:r>
    </w:p>
    <w:p w:rsidR="006F025D" w:rsidRDefault="006F025D" w:rsidP="00221548">
      <w:pPr>
        <w:pStyle w:val="ListParagraph"/>
        <w:numPr>
          <w:ilvl w:val="0"/>
          <w:numId w:val="7"/>
        </w:numPr>
        <w:spacing w:line="240" w:lineRule="auto"/>
      </w:pPr>
      <w:r>
        <w:t xml:space="preserve">Building, maintaining and operating Seattle’s </w:t>
      </w:r>
      <w:r w:rsidR="00F50308" w:rsidRPr="00817F7C">
        <w:t>multi</w:t>
      </w:r>
      <w:r w:rsidR="00D50E46" w:rsidRPr="00817F7C">
        <w:t>-</w:t>
      </w:r>
      <w:r w:rsidR="007903C9">
        <w:t xml:space="preserve">billion dollar </w:t>
      </w:r>
      <w:r>
        <w:t>transportation infrastructure;</w:t>
      </w:r>
    </w:p>
    <w:p w:rsidR="006F025D" w:rsidRDefault="006F025D" w:rsidP="00221548">
      <w:pPr>
        <w:pStyle w:val="ListParagraph"/>
        <w:numPr>
          <w:ilvl w:val="0"/>
          <w:numId w:val="7"/>
        </w:numPr>
        <w:spacing w:line="240" w:lineRule="auto"/>
      </w:pPr>
      <w:r>
        <w:t>Managing short-and long-term investments in streets,</w:t>
      </w:r>
      <w:r w:rsidR="0087337D">
        <w:t xml:space="preserve"> bridges, pavement and trees;</w:t>
      </w:r>
    </w:p>
    <w:p w:rsidR="006F025D" w:rsidRDefault="006F025D" w:rsidP="00221548">
      <w:pPr>
        <w:pStyle w:val="ListParagraph"/>
        <w:numPr>
          <w:ilvl w:val="0"/>
          <w:numId w:val="7"/>
        </w:numPr>
        <w:spacing w:line="240" w:lineRule="auto"/>
      </w:pPr>
      <w:r>
        <w:t>N</w:t>
      </w:r>
      <w:r w:rsidR="00485BFE" w:rsidRPr="00817F7C">
        <w:t>eighborhood-building projects such as bridge improvements and bike lanes</w:t>
      </w:r>
      <w:r>
        <w:t>;</w:t>
      </w:r>
    </w:p>
    <w:p w:rsidR="00221548" w:rsidRDefault="006F025D" w:rsidP="00221548">
      <w:pPr>
        <w:pStyle w:val="ListParagraph"/>
        <w:numPr>
          <w:ilvl w:val="0"/>
          <w:numId w:val="7"/>
        </w:numPr>
        <w:spacing w:line="240" w:lineRule="auto"/>
      </w:pPr>
      <w:r>
        <w:t xml:space="preserve">Delivering some of the region’s largest capital projects including; The Seattle Street Car Network, </w:t>
      </w:r>
      <w:r w:rsidR="0042122F">
        <w:t>Elliott</w:t>
      </w:r>
      <w:r>
        <w:t xml:space="preserve"> Bay Seawall Project, Mercer Corridor Improvements and the Seattle Waterfront Project. </w:t>
      </w:r>
    </w:p>
    <w:p w:rsidR="00CF2BAA" w:rsidRPr="00817F7C" w:rsidRDefault="00CF2BAA" w:rsidP="00221548">
      <w:pPr>
        <w:spacing w:line="240" w:lineRule="auto"/>
      </w:pPr>
      <w:r w:rsidRPr="00817F7C">
        <w:t xml:space="preserve">The department is a regional </w:t>
      </w:r>
      <w:r w:rsidR="00485BFE">
        <w:t>force</w:t>
      </w:r>
      <w:r w:rsidRPr="00817F7C">
        <w:t xml:space="preserve"> in endeavors that support job creation, including Li</w:t>
      </w:r>
      <w:r w:rsidR="00D450DF" w:rsidRPr="00817F7C">
        <w:t>nk Light Rail and the Seattle</w:t>
      </w:r>
      <w:r w:rsidRPr="00817F7C">
        <w:t xml:space="preserve"> Street Car</w:t>
      </w:r>
      <w:r w:rsidR="00C00180" w:rsidRPr="00817F7C">
        <w:t xml:space="preserve"> Network</w:t>
      </w:r>
      <w:r w:rsidRPr="00817F7C">
        <w:t xml:space="preserve">. SDOT </w:t>
      </w:r>
      <w:r w:rsidR="00551199">
        <w:t>keeps</w:t>
      </w:r>
      <w:r w:rsidRPr="00817F7C">
        <w:t xml:space="preserve"> Seattle strong by renewin</w:t>
      </w:r>
      <w:r w:rsidR="00AF280E" w:rsidRPr="00817F7C">
        <w:t xml:space="preserve">g </w:t>
      </w:r>
      <w:r w:rsidR="0087337D">
        <w:t xml:space="preserve">its </w:t>
      </w:r>
      <w:r w:rsidR="00AF280E" w:rsidRPr="00817F7C">
        <w:t>aging structures</w:t>
      </w:r>
      <w:r w:rsidR="00D50E46" w:rsidRPr="00817F7C">
        <w:t xml:space="preserve"> such as the </w:t>
      </w:r>
      <w:r w:rsidR="0042122F">
        <w:t>Elliott</w:t>
      </w:r>
      <w:r w:rsidR="00D50E46" w:rsidRPr="00817F7C">
        <w:t xml:space="preserve"> Bay Seawall.</w:t>
      </w:r>
      <w:r w:rsidRPr="00817F7C">
        <w:t xml:space="preserve"> The department </w:t>
      </w:r>
      <w:r w:rsidR="0087337D">
        <w:t>employs</w:t>
      </w:r>
      <w:r w:rsidR="004A7312">
        <w:t xml:space="preserve"> new technology with</w:t>
      </w:r>
      <w:r w:rsidR="00DC79EF" w:rsidRPr="00817F7C">
        <w:t xml:space="preserve"> tools such as the on-line traveler’s information and planned construction maps. </w:t>
      </w:r>
      <w:r w:rsidRPr="00817F7C">
        <w:t xml:space="preserve"> </w:t>
      </w:r>
      <w:r w:rsidR="00DC79EF" w:rsidRPr="00817F7C">
        <w:t xml:space="preserve">SDOT </w:t>
      </w:r>
      <w:r w:rsidR="0087337D">
        <w:t xml:space="preserve">takes care </w:t>
      </w:r>
      <w:r w:rsidR="00D50E46" w:rsidRPr="00817F7C">
        <w:t xml:space="preserve">of daily </w:t>
      </w:r>
      <w:r w:rsidRPr="00817F7C">
        <w:t xml:space="preserve">business by filling potholes and issuing street use permits.  </w:t>
      </w:r>
      <w:r w:rsidR="00564F13">
        <w:lastRenderedPageBreak/>
        <w:t xml:space="preserve">SDOT </w:t>
      </w:r>
      <w:r w:rsidRPr="00817F7C">
        <w:t xml:space="preserve">Director </w:t>
      </w:r>
      <w:r w:rsidR="00945BEE" w:rsidRPr="00817F7C">
        <w:t xml:space="preserve">Peter </w:t>
      </w:r>
      <w:r w:rsidR="00AF280E" w:rsidRPr="00817F7C">
        <w:t xml:space="preserve">Hahn </w:t>
      </w:r>
      <w:r w:rsidRPr="00817F7C">
        <w:t xml:space="preserve">has asked staff to continue their commitment </w:t>
      </w:r>
      <w:r w:rsidR="00E75D3E">
        <w:t xml:space="preserve">to customer service, safety, </w:t>
      </w:r>
      <w:r w:rsidRPr="00817F7C">
        <w:t>producing quality product</w:t>
      </w:r>
      <w:r w:rsidR="00DC79EF" w:rsidRPr="00817F7C">
        <w:t>s</w:t>
      </w:r>
      <w:r w:rsidR="0087337D">
        <w:t xml:space="preserve"> and social justice including “c</w:t>
      </w:r>
      <w:r w:rsidR="00E75D3E">
        <w:t xml:space="preserve">ontracting </w:t>
      </w:r>
      <w:r w:rsidR="0087337D">
        <w:t>e</w:t>
      </w:r>
      <w:r w:rsidR="00E75D3E">
        <w:t>quity</w:t>
      </w:r>
      <w:r w:rsidR="0087337D">
        <w:t>.”</w:t>
      </w:r>
      <w:r w:rsidRPr="00817F7C">
        <w:t xml:space="preserve"> </w:t>
      </w:r>
    </w:p>
    <w:p w:rsidR="00945BEE" w:rsidRPr="00223F68" w:rsidRDefault="00D50E46" w:rsidP="00EF08CC">
      <w:pPr>
        <w:spacing w:after="40" w:line="240" w:lineRule="auto"/>
      </w:pPr>
      <w:r w:rsidRPr="00951FA6">
        <w:t xml:space="preserve">The </w:t>
      </w:r>
      <w:r w:rsidR="00564F13">
        <w:t>d</w:t>
      </w:r>
      <w:r w:rsidRPr="00951FA6">
        <w:t xml:space="preserve">epartment is organized into eight </w:t>
      </w:r>
      <w:r w:rsidR="00951FA6" w:rsidRPr="00951FA6">
        <w:t>d</w:t>
      </w:r>
      <w:r w:rsidRPr="00951FA6">
        <w:t>ivisions</w:t>
      </w:r>
      <w:r w:rsidR="00CF2BAA" w:rsidRPr="00223F68">
        <w:t>:</w:t>
      </w:r>
    </w:p>
    <w:p w:rsidR="00CF2BAA" w:rsidRPr="00223F68" w:rsidRDefault="00CF2BAA" w:rsidP="00564F13">
      <w:pPr>
        <w:pStyle w:val="ListParagraph"/>
        <w:numPr>
          <w:ilvl w:val="0"/>
          <w:numId w:val="1"/>
        </w:numPr>
        <w:spacing w:line="240" w:lineRule="auto"/>
      </w:pPr>
      <w:r w:rsidRPr="00AF051C">
        <w:rPr>
          <w:b/>
          <w:bCs/>
        </w:rPr>
        <w:t>Capital Projects and Roadway Structures</w:t>
      </w:r>
      <w:r w:rsidRPr="00223F68">
        <w:t xml:space="preserve"> is responsible for the Transportation Capital Improvement Program and operation and maintenance of the city's bridges and other structures</w:t>
      </w:r>
      <w:r w:rsidR="00016825" w:rsidRPr="00223F68">
        <w:t>.</w:t>
      </w:r>
      <w:r w:rsidRPr="00223F68">
        <w:t xml:space="preserve"> </w:t>
      </w:r>
    </w:p>
    <w:p w:rsidR="00CF2BAA" w:rsidRPr="00223F68" w:rsidRDefault="00CF2BAA" w:rsidP="00564F13">
      <w:pPr>
        <w:pStyle w:val="ListParagraph"/>
        <w:numPr>
          <w:ilvl w:val="0"/>
          <w:numId w:val="1"/>
        </w:numPr>
        <w:spacing w:line="240" w:lineRule="auto"/>
      </w:pPr>
      <w:r w:rsidRPr="00AF051C">
        <w:rPr>
          <w:b/>
          <w:bCs/>
        </w:rPr>
        <w:t>Street Use &amp; Urban Forestry</w:t>
      </w:r>
      <w:r w:rsidRPr="00223F68">
        <w:t xml:space="preserve"> provides permitting for all work to be done in street right</w:t>
      </w:r>
      <w:r w:rsidR="00DF1C02">
        <w:t>-</w:t>
      </w:r>
      <w:r w:rsidRPr="00223F68">
        <w:t>of</w:t>
      </w:r>
      <w:r w:rsidR="00DF1C02">
        <w:t>-</w:t>
      </w:r>
      <w:r w:rsidRPr="00223F68">
        <w:t>way including planting</w:t>
      </w:r>
      <w:r w:rsidR="00DF1C02">
        <w:t>,</w:t>
      </w:r>
      <w:r w:rsidRPr="00223F68">
        <w:t xml:space="preserve"> pruning and removal of trees</w:t>
      </w:r>
      <w:r w:rsidR="00DF1C02">
        <w:t>.</w:t>
      </w:r>
    </w:p>
    <w:p w:rsidR="00F50308" w:rsidRPr="00223F68" w:rsidRDefault="00CF2BAA" w:rsidP="00564F13">
      <w:pPr>
        <w:pStyle w:val="ListParagraph"/>
        <w:numPr>
          <w:ilvl w:val="0"/>
          <w:numId w:val="1"/>
        </w:numPr>
        <w:spacing w:line="240" w:lineRule="auto"/>
      </w:pPr>
      <w:r w:rsidRPr="00AF051C">
        <w:rPr>
          <w:b/>
          <w:bCs/>
        </w:rPr>
        <w:t>Policy</w:t>
      </w:r>
      <w:r w:rsidR="007903C9" w:rsidRPr="00AF051C">
        <w:rPr>
          <w:b/>
          <w:bCs/>
        </w:rPr>
        <w:t xml:space="preserve"> and</w:t>
      </w:r>
      <w:r w:rsidRPr="00AF051C">
        <w:rPr>
          <w:b/>
          <w:bCs/>
        </w:rPr>
        <w:t xml:space="preserve"> </w:t>
      </w:r>
      <w:r w:rsidR="004A7312" w:rsidRPr="00AF051C">
        <w:rPr>
          <w:b/>
          <w:bCs/>
        </w:rPr>
        <w:t xml:space="preserve">Planning </w:t>
      </w:r>
      <w:r w:rsidR="004A7312" w:rsidRPr="00223F68">
        <w:t>is</w:t>
      </w:r>
      <w:r w:rsidR="00F50308" w:rsidRPr="00223F68">
        <w:t xml:space="preserve"> responsible </w:t>
      </w:r>
      <w:r w:rsidR="0080107C" w:rsidRPr="00223F68">
        <w:t xml:space="preserve">for </w:t>
      </w:r>
      <w:r w:rsidR="00F50308" w:rsidRPr="00223F68">
        <w:t>large projects program development</w:t>
      </w:r>
      <w:r w:rsidR="00F45194">
        <w:t>.</w:t>
      </w:r>
    </w:p>
    <w:p w:rsidR="00CF2BAA" w:rsidRPr="00223F68" w:rsidRDefault="00CF2BAA" w:rsidP="00564F13">
      <w:pPr>
        <w:pStyle w:val="ListParagraph"/>
        <w:numPr>
          <w:ilvl w:val="0"/>
          <w:numId w:val="1"/>
        </w:numPr>
        <w:spacing w:line="240" w:lineRule="auto"/>
      </w:pPr>
      <w:r w:rsidRPr="00AF051C">
        <w:rPr>
          <w:b/>
          <w:bCs/>
        </w:rPr>
        <w:t>Major Projects</w:t>
      </w:r>
      <w:r w:rsidR="0080107C" w:rsidRPr="00223F68">
        <w:t xml:space="preserve"> is responsible for implementation</w:t>
      </w:r>
      <w:r w:rsidRPr="00223F68">
        <w:t xml:space="preserve"> of large projects and program development</w:t>
      </w:r>
      <w:r w:rsidR="00016825" w:rsidRPr="00223F68">
        <w:t>.</w:t>
      </w:r>
    </w:p>
    <w:p w:rsidR="00CF2BAA" w:rsidRPr="00223F68" w:rsidRDefault="00CF2BAA" w:rsidP="00564F13">
      <w:pPr>
        <w:pStyle w:val="ListParagraph"/>
        <w:numPr>
          <w:ilvl w:val="0"/>
          <w:numId w:val="1"/>
        </w:numPr>
        <w:spacing w:line="240" w:lineRule="auto"/>
      </w:pPr>
      <w:r w:rsidRPr="00AF051C">
        <w:rPr>
          <w:b/>
          <w:bCs/>
        </w:rPr>
        <w:t>Resource Management</w:t>
      </w:r>
      <w:r w:rsidRPr="00223F68">
        <w:t xml:space="preserve"> is responsible</w:t>
      </w:r>
      <w:r w:rsidR="0080107C" w:rsidRPr="00223F68">
        <w:t xml:space="preserve"> for financial oversight, department</w:t>
      </w:r>
      <w:r w:rsidRPr="00223F68">
        <w:t xml:space="preserve"> information systems and administrative support</w:t>
      </w:r>
      <w:r w:rsidR="0080107C" w:rsidRPr="00223F68">
        <w:t>.</w:t>
      </w:r>
      <w:r w:rsidRPr="00223F68">
        <w:t xml:space="preserve"> </w:t>
      </w:r>
    </w:p>
    <w:p w:rsidR="00CF2BAA" w:rsidRPr="00223F68" w:rsidRDefault="00CF2BAA" w:rsidP="00564F13">
      <w:pPr>
        <w:pStyle w:val="ListParagraph"/>
        <w:numPr>
          <w:ilvl w:val="0"/>
          <w:numId w:val="1"/>
        </w:numPr>
        <w:spacing w:line="240" w:lineRule="auto"/>
      </w:pPr>
      <w:r w:rsidRPr="00AF051C">
        <w:rPr>
          <w:b/>
          <w:bCs/>
        </w:rPr>
        <w:t>Street Maintenance</w:t>
      </w:r>
      <w:r w:rsidRPr="00223F68">
        <w:t xml:space="preserve"> is responsible for street resurfacing, cleaning and general maintenance</w:t>
      </w:r>
      <w:r w:rsidR="0080107C" w:rsidRPr="00223F68">
        <w:t>.</w:t>
      </w:r>
      <w:r w:rsidRPr="00223F68">
        <w:t xml:space="preserve"> </w:t>
      </w:r>
    </w:p>
    <w:p w:rsidR="00786A11" w:rsidRPr="00223F68" w:rsidRDefault="00CF2BAA" w:rsidP="00564F13">
      <w:pPr>
        <w:pStyle w:val="ListParagraph"/>
        <w:numPr>
          <w:ilvl w:val="0"/>
          <w:numId w:val="1"/>
        </w:numPr>
        <w:spacing w:line="240" w:lineRule="auto"/>
      </w:pPr>
      <w:r w:rsidRPr="00AF051C">
        <w:rPr>
          <w:b/>
          <w:bCs/>
        </w:rPr>
        <w:t>Traffic Management</w:t>
      </w:r>
      <w:r w:rsidRPr="00223F68">
        <w:t xml:space="preserve"> is responsible for operation of the city's street system, and neighborhood and operational program</w:t>
      </w:r>
      <w:r w:rsidR="0080107C" w:rsidRPr="00223F68">
        <w:t>s</w:t>
      </w:r>
      <w:r w:rsidRPr="00223F68">
        <w:t>.</w:t>
      </w:r>
      <w:r w:rsidR="00A26E07" w:rsidRPr="00223F68">
        <w:t xml:space="preserve"> </w:t>
      </w:r>
    </w:p>
    <w:p w:rsidR="0042122F" w:rsidRPr="00223F68" w:rsidRDefault="00786A11" w:rsidP="0042122F">
      <w:pPr>
        <w:pStyle w:val="ListParagraph"/>
        <w:numPr>
          <w:ilvl w:val="0"/>
          <w:numId w:val="1"/>
        </w:numPr>
        <w:spacing w:after="100" w:line="240" w:lineRule="auto"/>
      </w:pPr>
      <w:r w:rsidRPr="00AF051C">
        <w:rPr>
          <w:b/>
          <w:bCs/>
        </w:rPr>
        <w:t xml:space="preserve">Human Resources </w:t>
      </w:r>
      <w:r w:rsidR="00DF1C02" w:rsidRPr="00F45194">
        <w:t xml:space="preserve">is responsible for providing </w:t>
      </w:r>
      <w:r w:rsidRPr="00F45194">
        <w:t>customer service and expertise in the areas of hiring and selection, benefits, training and administrative support services.</w:t>
      </w:r>
    </w:p>
    <w:p w:rsidR="004F4F85" w:rsidRDefault="0042122F">
      <w:r>
        <w:t xml:space="preserve">All Divisions report to the </w:t>
      </w:r>
      <w:r w:rsidR="009D55A3" w:rsidRPr="009D55A3">
        <w:rPr>
          <w:b/>
        </w:rPr>
        <w:t>Executive Management</w:t>
      </w:r>
      <w:r>
        <w:t xml:space="preserve"> team which is responsible for the Director’s Office and Communications.</w:t>
      </w:r>
    </w:p>
    <w:p w:rsidR="00486ACA" w:rsidRDefault="00116051" w:rsidP="006E661B">
      <w:pPr>
        <w:pStyle w:val="Heading1"/>
        <w:spacing w:before="300" w:line="240" w:lineRule="auto"/>
      </w:pPr>
      <w:r w:rsidRPr="00E00982">
        <w:t>Summary of Past Performance</w:t>
      </w:r>
      <w:r w:rsidR="00533443">
        <w:t xml:space="preserve"> </w:t>
      </w:r>
    </w:p>
    <w:p w:rsidR="004F4F85" w:rsidRDefault="0012045F">
      <w:r>
        <w:t xml:space="preserve">In 2012 </w:t>
      </w:r>
      <w:r w:rsidR="0042122F">
        <w:t>SDOT st</w:t>
      </w:r>
      <w:r>
        <w:t>r</w:t>
      </w:r>
      <w:r w:rsidR="001719BE">
        <w:t xml:space="preserve">ove </w:t>
      </w:r>
      <w:r w:rsidR="0042122F">
        <w:t xml:space="preserve">to reach and exceed </w:t>
      </w:r>
      <w:r>
        <w:t>10% minimum goals</w:t>
      </w:r>
      <w:r w:rsidR="0042122F">
        <w:t xml:space="preserve"> for WMBE utilization</w:t>
      </w:r>
      <w:r>
        <w:t xml:space="preserve">. </w:t>
      </w:r>
      <w:r w:rsidR="00586918">
        <w:t xml:space="preserve">Figure 1 </w:t>
      </w:r>
      <w:r w:rsidR="0039746B">
        <w:t>illustrates the trends in SDOT contracting and pu</w:t>
      </w:r>
      <w:r w:rsidR="00667506">
        <w:t>rchasing expenditures over the p</w:t>
      </w:r>
      <w:r w:rsidR="0039746B">
        <w:t xml:space="preserve">ast 7 years. </w:t>
      </w:r>
    </w:p>
    <w:p w:rsidR="00E0130B" w:rsidRPr="00C45A53" w:rsidRDefault="00E0130B" w:rsidP="0039746B">
      <w:pPr>
        <w:jc w:val="center"/>
        <w:rPr>
          <w:b/>
          <w:color w:val="000000" w:themeColor="text1"/>
        </w:rPr>
      </w:pPr>
      <w:r w:rsidRPr="00C45A53">
        <w:rPr>
          <w:b/>
          <w:color w:val="000000" w:themeColor="text1"/>
        </w:rPr>
        <w:t xml:space="preserve">Figure </w:t>
      </w:r>
      <w:r w:rsidR="00A4274C" w:rsidRPr="00C45A53">
        <w:rPr>
          <w:b/>
          <w:color w:val="000000" w:themeColor="text1"/>
        </w:rPr>
        <w:fldChar w:fldCharType="begin"/>
      </w:r>
      <w:r w:rsidRPr="00C45A53">
        <w:rPr>
          <w:b/>
          <w:color w:val="000000" w:themeColor="text1"/>
        </w:rPr>
        <w:instrText xml:space="preserve"> SEQ Figure \* ARABIC </w:instrText>
      </w:r>
      <w:r w:rsidR="00A4274C" w:rsidRPr="00C45A53">
        <w:rPr>
          <w:b/>
          <w:color w:val="000000" w:themeColor="text1"/>
        </w:rPr>
        <w:fldChar w:fldCharType="separate"/>
      </w:r>
      <w:r w:rsidR="00E954D9">
        <w:rPr>
          <w:b/>
          <w:noProof/>
          <w:color w:val="000000" w:themeColor="text1"/>
        </w:rPr>
        <w:t>1</w:t>
      </w:r>
      <w:r w:rsidR="00A4274C" w:rsidRPr="00C45A53">
        <w:rPr>
          <w:b/>
          <w:color w:val="000000" w:themeColor="text1"/>
        </w:rPr>
        <w:fldChar w:fldCharType="end"/>
      </w:r>
      <w:r w:rsidRPr="00C45A53">
        <w:rPr>
          <w:b/>
          <w:color w:val="000000" w:themeColor="text1"/>
        </w:rPr>
        <w:t xml:space="preserve"> </w:t>
      </w:r>
      <w:r w:rsidR="000B72FE" w:rsidRPr="00C45A53">
        <w:rPr>
          <w:b/>
          <w:color w:val="000000" w:themeColor="text1"/>
        </w:rPr>
        <w:t>–</w:t>
      </w:r>
      <w:r w:rsidRPr="00C45A53">
        <w:rPr>
          <w:b/>
          <w:color w:val="000000" w:themeColor="text1"/>
        </w:rPr>
        <w:t xml:space="preserve"> SDOT WMBE Performance 2005-2012</w:t>
      </w:r>
    </w:p>
    <w:p w:rsidR="00E0130B" w:rsidRDefault="00667506" w:rsidP="00294A7C">
      <w:pPr>
        <w:rPr>
          <w:rFonts w:ascii="Arial" w:hAnsi="Arial" w:cs="Arial"/>
          <w:highlight w:val="yellow"/>
        </w:rPr>
      </w:pPr>
      <w:r w:rsidRPr="00667506">
        <w:rPr>
          <w:rFonts w:ascii="Arial" w:hAnsi="Arial" w:cs="Arial"/>
          <w:noProof/>
        </w:rPr>
        <w:drawing>
          <wp:inline distT="0" distB="0" distL="0" distR="0">
            <wp:extent cx="5943600" cy="2416810"/>
            <wp:effectExtent l="19050" t="0" r="19050" b="254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130B" w:rsidRDefault="000B72FE" w:rsidP="000D751C">
      <w:pPr>
        <w:spacing w:after="100" w:line="240" w:lineRule="auto"/>
        <w:rPr>
          <w:rFonts w:cs="Arial"/>
          <w:i/>
          <w:sz w:val="16"/>
          <w:szCs w:val="16"/>
        </w:rPr>
      </w:pPr>
      <w:r w:rsidRPr="00991FF1">
        <w:rPr>
          <w:rFonts w:cs="Arial"/>
          <w:b/>
          <w:i/>
          <w:sz w:val="16"/>
          <w:szCs w:val="16"/>
        </w:rPr>
        <w:t>Note:</w:t>
      </w:r>
      <w:r w:rsidRPr="00AF051C">
        <w:rPr>
          <w:rFonts w:cs="Arial"/>
          <w:i/>
          <w:sz w:val="16"/>
          <w:szCs w:val="16"/>
        </w:rPr>
        <w:t xml:space="preserve"> Beginning in 2012, SDOT began tracking Mega Project expenditures separately. The figure above reflects SDOT’s expenditures </w:t>
      </w:r>
      <w:r w:rsidR="00AF051C" w:rsidRPr="00AF051C">
        <w:rPr>
          <w:rFonts w:cs="Arial"/>
          <w:i/>
          <w:sz w:val="16"/>
          <w:szCs w:val="16"/>
        </w:rPr>
        <w:br/>
      </w:r>
      <w:r w:rsidRPr="00AF051C">
        <w:rPr>
          <w:rFonts w:cs="Arial"/>
          <w:i/>
          <w:sz w:val="16"/>
          <w:szCs w:val="16"/>
        </w:rPr>
        <w:t xml:space="preserve">less Mega Projects. </w:t>
      </w:r>
    </w:p>
    <w:p w:rsidR="007B3624" w:rsidRPr="005640B0" w:rsidRDefault="007B3624" w:rsidP="007B3624">
      <w:pPr>
        <w:pStyle w:val="Heading4"/>
        <w:rPr>
          <w:color w:val="000000"/>
        </w:rPr>
      </w:pPr>
      <w:r>
        <w:t>Past Performance</w:t>
      </w:r>
    </w:p>
    <w:p w:rsidR="007B3624" w:rsidRPr="00AF051C" w:rsidRDefault="007B3624" w:rsidP="007B3624">
      <w:pPr>
        <w:pStyle w:val="ListParagraph"/>
        <w:numPr>
          <w:ilvl w:val="0"/>
          <w:numId w:val="2"/>
        </w:numPr>
        <w:spacing w:line="240" w:lineRule="auto"/>
        <w:rPr>
          <w:b/>
          <w:bCs/>
          <w:color w:val="000000"/>
        </w:rPr>
      </w:pPr>
      <w:r w:rsidRPr="00D73508">
        <w:t>Between 200</w:t>
      </w:r>
      <w:r>
        <w:t>5</w:t>
      </w:r>
      <w:r w:rsidRPr="00D73508">
        <w:t xml:space="preserve"> and 201</w:t>
      </w:r>
      <w:r>
        <w:t>2</w:t>
      </w:r>
      <w:r w:rsidRPr="00D73508">
        <w:t xml:space="preserve"> SDOT’s </w:t>
      </w:r>
      <w:r>
        <w:t xml:space="preserve">WMBE </w:t>
      </w:r>
      <w:r w:rsidRPr="00D73508">
        <w:t xml:space="preserve">spending on consultant contracts </w:t>
      </w:r>
      <w:r>
        <w:t>increased from 8% into 17%.</w:t>
      </w:r>
      <w:r w:rsidRPr="00AF051C">
        <w:rPr>
          <w:b/>
          <w:bCs/>
          <w:color w:val="000000"/>
        </w:rPr>
        <w:t xml:space="preserve"> </w:t>
      </w:r>
    </w:p>
    <w:p w:rsidR="007B3624" w:rsidRPr="00AF051C" w:rsidRDefault="007B3624" w:rsidP="007B3624">
      <w:pPr>
        <w:pStyle w:val="ListParagraph"/>
        <w:numPr>
          <w:ilvl w:val="0"/>
          <w:numId w:val="2"/>
        </w:numPr>
        <w:spacing w:line="240" w:lineRule="auto"/>
        <w:rPr>
          <w:b/>
          <w:bCs/>
          <w:color w:val="000000"/>
        </w:rPr>
      </w:pPr>
      <w:r w:rsidRPr="00D73508">
        <w:t>B</w:t>
      </w:r>
      <w:r>
        <w:t>etween 2005 and 2012</w:t>
      </w:r>
      <w:r w:rsidRPr="00D73508">
        <w:t xml:space="preserve"> SDOT saw a </w:t>
      </w:r>
      <w:r>
        <w:t>304</w:t>
      </w:r>
      <w:r w:rsidRPr="00D73508">
        <w:t xml:space="preserve">% increase in </w:t>
      </w:r>
      <w:r>
        <w:t xml:space="preserve">spending with WMBE consulting firms. </w:t>
      </w:r>
    </w:p>
    <w:p w:rsidR="007B3624" w:rsidRPr="00A452AE" w:rsidRDefault="007B3624" w:rsidP="007B3624">
      <w:pPr>
        <w:pStyle w:val="ListParagraph"/>
        <w:numPr>
          <w:ilvl w:val="0"/>
          <w:numId w:val="2"/>
        </w:numPr>
        <w:spacing w:line="240" w:lineRule="auto"/>
        <w:rPr>
          <w:b/>
          <w:i/>
        </w:rPr>
      </w:pPr>
      <w:r>
        <w:lastRenderedPageBreak/>
        <w:t>Starting in 2011,</w:t>
      </w:r>
      <w:r w:rsidRPr="00D73508">
        <w:t xml:space="preserve"> SDOT</w:t>
      </w:r>
      <w:r>
        <w:t>’s</w:t>
      </w:r>
      <w:r w:rsidRPr="00D73508">
        <w:t xml:space="preserve"> WMBE utilization declined substantially. The decrease is due to large </w:t>
      </w:r>
      <w:r>
        <w:t xml:space="preserve">amounts of </w:t>
      </w:r>
      <w:r w:rsidRPr="00D73508">
        <w:t>spending for consultants on “Mega Projects</w:t>
      </w:r>
      <w:r w:rsidRPr="00AF051C">
        <w:rPr>
          <w:b/>
        </w:rPr>
        <w:t>.”</w:t>
      </w:r>
      <w:r>
        <w:rPr>
          <w:b/>
        </w:rPr>
        <w:t xml:space="preserve"> </w:t>
      </w:r>
      <w:r w:rsidRPr="00EB4D89">
        <w:t>These projects are multi-year/multimillion dollar contracts with one major prime contractor and numerous sub</w:t>
      </w:r>
      <w:r w:rsidR="007435FD">
        <w:t>-</w:t>
      </w:r>
      <w:r w:rsidRPr="00EB4D89">
        <w:t>contractors which include WMBE subs. Four projects make up nearly 60% of SDOT’s consultant contracting spend</w:t>
      </w:r>
      <w:r w:rsidRPr="00A452AE">
        <w:rPr>
          <w:b/>
          <w:i/>
        </w:rPr>
        <w:t>.  In 2012</w:t>
      </w:r>
      <w:r>
        <w:rPr>
          <w:b/>
          <w:i/>
        </w:rPr>
        <w:t>,</w:t>
      </w:r>
      <w:r w:rsidRPr="00A452AE">
        <w:rPr>
          <w:b/>
          <w:i/>
        </w:rPr>
        <w:t xml:space="preserve"> SDOT isolated these four Mega Projects from the department’s overall spending and tracked WMBE </w:t>
      </w:r>
      <w:r w:rsidR="00253527">
        <w:rPr>
          <w:b/>
          <w:i/>
        </w:rPr>
        <w:t>s</w:t>
      </w:r>
      <w:r w:rsidRPr="00A452AE">
        <w:rPr>
          <w:b/>
          <w:i/>
        </w:rPr>
        <w:t>ub</w:t>
      </w:r>
      <w:r w:rsidR="007435FD">
        <w:rPr>
          <w:b/>
          <w:i/>
        </w:rPr>
        <w:t>-</w:t>
      </w:r>
      <w:r w:rsidRPr="00A452AE">
        <w:rPr>
          <w:b/>
          <w:i/>
        </w:rPr>
        <w:t xml:space="preserve">consultant utilization on these projects separately. The WMBE utilization rate was 18% or $4.2 million. </w:t>
      </w:r>
    </w:p>
    <w:p w:rsidR="00A452AE" w:rsidRDefault="004D26D1" w:rsidP="006E661B">
      <w:pPr>
        <w:pStyle w:val="Heading1"/>
        <w:spacing w:before="300" w:line="240" w:lineRule="auto"/>
      </w:pPr>
      <w:r>
        <w:t xml:space="preserve">Summary of </w:t>
      </w:r>
      <w:r w:rsidRPr="001D0ABE">
        <w:t>2012 Performance</w:t>
      </w:r>
      <w:r>
        <w:t xml:space="preserve"> </w:t>
      </w:r>
    </w:p>
    <w:p w:rsidR="00631861" w:rsidRDefault="008A758C" w:rsidP="008A758C">
      <w:pPr>
        <w:jc w:val="center"/>
      </w:pPr>
      <w:r>
        <w:t>SDOT met or exceeded it 2012 goals of 10% for Purchasing, 10% for Consulting and 12% for Mega Projects.</w:t>
      </w:r>
      <w:r>
        <w:tab/>
      </w:r>
    </w:p>
    <w:p w:rsidR="004F4F85" w:rsidRDefault="00044306" w:rsidP="008A758C">
      <w:pPr>
        <w:jc w:val="center"/>
        <w:rPr>
          <w:b/>
        </w:rPr>
      </w:pPr>
      <w:r>
        <w:rPr>
          <w:b/>
        </w:rPr>
        <w:t>Table</w:t>
      </w:r>
      <w:r w:rsidR="00631861">
        <w:rPr>
          <w:b/>
        </w:rPr>
        <w:t xml:space="preserve"> </w:t>
      </w:r>
      <w:r>
        <w:rPr>
          <w:b/>
        </w:rPr>
        <w:t>1</w:t>
      </w:r>
      <w:r w:rsidR="004008C5">
        <w:rPr>
          <w:b/>
        </w:rPr>
        <w:t xml:space="preserve"> </w:t>
      </w:r>
      <w:r w:rsidR="004008C5" w:rsidRPr="00C45A53">
        <w:rPr>
          <w:b/>
          <w:color w:val="000000" w:themeColor="text1"/>
        </w:rPr>
        <w:t>–</w:t>
      </w:r>
      <w:r w:rsidR="004008C5">
        <w:rPr>
          <w:b/>
          <w:color w:val="000000" w:themeColor="text1"/>
        </w:rPr>
        <w:t xml:space="preserve"> </w:t>
      </w:r>
      <w:r w:rsidR="00631861">
        <w:rPr>
          <w:b/>
        </w:rPr>
        <w:t>2012 WMBE Utilization</w:t>
      </w:r>
    </w:p>
    <w:tbl>
      <w:tblPr>
        <w:tblStyle w:val="MediumGrid3-Accent1"/>
        <w:tblW w:w="0" w:type="auto"/>
        <w:jc w:val="center"/>
        <w:tblInd w:w="-40" w:type="dxa"/>
        <w:tblLook w:val="04A0" w:firstRow="1" w:lastRow="0" w:firstColumn="1" w:lastColumn="0" w:noHBand="0" w:noVBand="1"/>
      </w:tblPr>
      <w:tblGrid>
        <w:gridCol w:w="2086"/>
        <w:gridCol w:w="1552"/>
        <w:gridCol w:w="3349"/>
        <w:gridCol w:w="892"/>
      </w:tblGrid>
      <w:tr w:rsidR="00A452AE" w:rsidTr="00A203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8" w:type="dxa"/>
            <w:gridSpan w:val="2"/>
            <w:tcBorders>
              <w:bottom w:val="dotted" w:sz="4" w:space="0" w:color="auto"/>
            </w:tcBorders>
          </w:tcPr>
          <w:p w:rsidR="00A452AE" w:rsidRPr="006B2486" w:rsidRDefault="00A452AE" w:rsidP="00D012E6">
            <w:pPr>
              <w:jc w:val="center"/>
              <w:rPr>
                <w:rFonts w:cs="Arial"/>
                <w:b w:val="0"/>
                <w:sz w:val="24"/>
                <w:szCs w:val="24"/>
              </w:rPr>
            </w:pPr>
            <w:r>
              <w:rPr>
                <w:rFonts w:cs="Arial"/>
                <w:b w:val="0"/>
                <w:sz w:val="24"/>
                <w:szCs w:val="24"/>
              </w:rPr>
              <w:t xml:space="preserve">2012 </w:t>
            </w:r>
            <w:r w:rsidRPr="006B2486">
              <w:rPr>
                <w:rFonts w:cs="Arial"/>
                <w:b w:val="0"/>
                <w:sz w:val="24"/>
                <w:szCs w:val="24"/>
              </w:rPr>
              <w:t>Voluntary WMBE Targets</w:t>
            </w:r>
          </w:p>
        </w:tc>
        <w:tc>
          <w:tcPr>
            <w:tcW w:w="4241" w:type="dxa"/>
            <w:gridSpan w:val="2"/>
            <w:tcBorders>
              <w:bottom w:val="dotted" w:sz="4" w:space="0" w:color="auto"/>
            </w:tcBorders>
          </w:tcPr>
          <w:p w:rsidR="00A452AE" w:rsidRDefault="00A452AE" w:rsidP="00D012E6">
            <w:pPr>
              <w:jc w:val="center"/>
              <w:cnfStyle w:val="100000000000" w:firstRow="1" w:lastRow="0" w:firstColumn="0" w:lastColumn="0" w:oddVBand="0" w:evenVBand="0" w:oddHBand="0" w:evenHBand="0" w:firstRowFirstColumn="0" w:firstRowLastColumn="0" w:lastRowFirstColumn="0" w:lastRowLastColumn="0"/>
              <w:rPr>
                <w:rFonts w:cs="Arial"/>
                <w:b w:val="0"/>
                <w:sz w:val="24"/>
                <w:szCs w:val="24"/>
              </w:rPr>
            </w:pPr>
            <w:r>
              <w:rPr>
                <w:rFonts w:cs="Arial"/>
                <w:b w:val="0"/>
                <w:sz w:val="24"/>
                <w:szCs w:val="24"/>
              </w:rPr>
              <w:t>2012 Actuals</w:t>
            </w:r>
          </w:p>
        </w:tc>
      </w:tr>
      <w:tr w:rsidR="00A452AE" w:rsidTr="00A203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6"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rPr>
                <w:rFonts w:cs="Arial"/>
                <w:b w:val="0"/>
                <w:color w:val="auto"/>
                <w:sz w:val="24"/>
                <w:szCs w:val="24"/>
              </w:rPr>
            </w:pPr>
            <w:r w:rsidRPr="006B2486">
              <w:rPr>
                <w:rFonts w:cs="Arial"/>
                <w:b w:val="0"/>
                <w:color w:val="auto"/>
                <w:sz w:val="24"/>
                <w:szCs w:val="24"/>
              </w:rPr>
              <w:t>Purchasing</w:t>
            </w:r>
          </w:p>
        </w:tc>
        <w:tc>
          <w:tcPr>
            <w:tcW w:w="155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B2486">
              <w:rPr>
                <w:rFonts w:cs="Arial"/>
                <w:b/>
                <w:sz w:val="24"/>
                <w:szCs w:val="24"/>
              </w:rPr>
              <w:t>10%</w:t>
            </w:r>
          </w:p>
        </w:tc>
        <w:tc>
          <w:tcPr>
            <w:tcW w:w="3349"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B2486">
              <w:rPr>
                <w:rFonts w:cs="Arial"/>
                <w:sz w:val="24"/>
                <w:szCs w:val="24"/>
              </w:rPr>
              <w:t>Purchasing</w:t>
            </w:r>
          </w:p>
        </w:tc>
        <w:tc>
          <w:tcPr>
            <w:tcW w:w="89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9.6%</w:t>
            </w:r>
          </w:p>
        </w:tc>
      </w:tr>
      <w:tr w:rsidR="00A452AE" w:rsidTr="00A20382">
        <w:trPr>
          <w:jc w:val="center"/>
        </w:trPr>
        <w:tc>
          <w:tcPr>
            <w:cnfStyle w:val="001000000000" w:firstRow="0" w:lastRow="0" w:firstColumn="1" w:lastColumn="0" w:oddVBand="0" w:evenVBand="0" w:oddHBand="0" w:evenHBand="0" w:firstRowFirstColumn="0" w:firstRowLastColumn="0" w:lastRowFirstColumn="0" w:lastRowLastColumn="0"/>
            <w:tcW w:w="2086"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rPr>
                <w:rFonts w:cs="Arial"/>
                <w:b w:val="0"/>
                <w:color w:val="auto"/>
                <w:sz w:val="24"/>
                <w:szCs w:val="24"/>
              </w:rPr>
            </w:pPr>
            <w:r w:rsidRPr="006B2486">
              <w:rPr>
                <w:rFonts w:cs="Arial"/>
                <w:b w:val="0"/>
                <w:color w:val="auto"/>
                <w:sz w:val="24"/>
                <w:szCs w:val="24"/>
              </w:rPr>
              <w:t>Consulting</w:t>
            </w:r>
          </w:p>
        </w:tc>
        <w:tc>
          <w:tcPr>
            <w:tcW w:w="155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6B2486">
              <w:rPr>
                <w:rFonts w:cs="Arial"/>
                <w:b/>
                <w:sz w:val="24"/>
                <w:szCs w:val="24"/>
              </w:rPr>
              <w:t>10%</w:t>
            </w:r>
          </w:p>
        </w:tc>
        <w:tc>
          <w:tcPr>
            <w:tcW w:w="3349"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6B2486">
              <w:rPr>
                <w:rFonts w:cs="Arial"/>
                <w:sz w:val="24"/>
                <w:szCs w:val="24"/>
              </w:rPr>
              <w:t>Consulting</w:t>
            </w:r>
          </w:p>
        </w:tc>
        <w:tc>
          <w:tcPr>
            <w:tcW w:w="89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Pr>
                <w:rFonts w:cs="Arial"/>
                <w:b/>
                <w:sz w:val="24"/>
                <w:szCs w:val="24"/>
              </w:rPr>
              <w:t>17.2%</w:t>
            </w:r>
          </w:p>
        </w:tc>
      </w:tr>
      <w:tr w:rsidR="00A452AE" w:rsidTr="00A20382">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086"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rPr>
                <w:rFonts w:cs="Arial"/>
                <w:b w:val="0"/>
                <w:color w:val="auto"/>
                <w:sz w:val="24"/>
                <w:szCs w:val="24"/>
              </w:rPr>
            </w:pPr>
            <w:r w:rsidRPr="006B2486">
              <w:rPr>
                <w:rFonts w:cs="Arial"/>
                <w:b w:val="0"/>
                <w:color w:val="auto"/>
                <w:sz w:val="24"/>
                <w:szCs w:val="24"/>
              </w:rPr>
              <w:t>Mega Projects</w:t>
            </w:r>
          </w:p>
        </w:tc>
        <w:tc>
          <w:tcPr>
            <w:tcW w:w="155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12</w:t>
            </w:r>
            <w:r w:rsidRPr="006B2486">
              <w:rPr>
                <w:rFonts w:cs="Arial"/>
                <w:b/>
                <w:sz w:val="24"/>
                <w:szCs w:val="24"/>
              </w:rPr>
              <w:t>%</w:t>
            </w:r>
          </w:p>
        </w:tc>
        <w:tc>
          <w:tcPr>
            <w:tcW w:w="3349"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B2486">
              <w:rPr>
                <w:rFonts w:cs="Arial"/>
                <w:sz w:val="24"/>
                <w:szCs w:val="24"/>
              </w:rPr>
              <w:t>Mega Projects</w:t>
            </w:r>
          </w:p>
        </w:tc>
        <w:tc>
          <w:tcPr>
            <w:tcW w:w="892" w:type="dxa"/>
            <w:tcBorders>
              <w:top w:val="dotted" w:sz="4" w:space="0" w:color="auto"/>
              <w:left w:val="dotted" w:sz="4" w:space="0" w:color="auto"/>
              <w:bottom w:val="dotted" w:sz="4" w:space="0" w:color="auto"/>
              <w:right w:val="dotted" w:sz="4" w:space="0" w:color="auto"/>
            </w:tcBorders>
            <w:shd w:val="clear" w:color="auto" w:fill="auto"/>
          </w:tcPr>
          <w:p w:rsidR="00A452AE" w:rsidRPr="006B2486" w:rsidRDefault="00A452AE" w:rsidP="00D012E6">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Pr>
                <w:rFonts w:cs="Arial"/>
                <w:b/>
                <w:sz w:val="24"/>
                <w:szCs w:val="24"/>
              </w:rPr>
              <w:t>18%</w:t>
            </w:r>
          </w:p>
        </w:tc>
      </w:tr>
    </w:tbl>
    <w:p w:rsidR="00536B9F" w:rsidRDefault="00536B9F" w:rsidP="00F81B1F">
      <w:pPr>
        <w:spacing w:after="100"/>
        <w:rPr>
          <w:b/>
          <w:i/>
        </w:rPr>
      </w:pPr>
    </w:p>
    <w:p w:rsidR="00044306" w:rsidRDefault="0042122F" w:rsidP="004D26D1">
      <w:pPr>
        <w:rPr>
          <w:rFonts w:cs="Arial"/>
        </w:rPr>
      </w:pPr>
      <w:r>
        <w:rPr>
          <w:b/>
          <w:i/>
        </w:rPr>
        <w:t xml:space="preserve">In 2012 </w:t>
      </w:r>
      <w:r w:rsidR="004D26D1" w:rsidRPr="006C386F">
        <w:rPr>
          <w:b/>
          <w:i/>
        </w:rPr>
        <w:t xml:space="preserve">SDOT had a </w:t>
      </w:r>
      <w:r w:rsidR="008A758C" w:rsidRPr="006C386F">
        <w:rPr>
          <w:b/>
          <w:i/>
        </w:rPr>
        <w:t>strong overall</w:t>
      </w:r>
      <w:r w:rsidR="00044306">
        <w:rPr>
          <w:b/>
          <w:i/>
        </w:rPr>
        <w:t xml:space="preserve"> </w:t>
      </w:r>
      <w:r w:rsidR="004D26D1" w:rsidRPr="006C386F">
        <w:rPr>
          <w:b/>
          <w:i/>
        </w:rPr>
        <w:t xml:space="preserve">performance with nearly </w:t>
      </w:r>
      <w:r w:rsidR="00564F13">
        <w:rPr>
          <w:b/>
          <w:i/>
        </w:rPr>
        <w:t>$</w:t>
      </w:r>
      <w:r w:rsidR="004D26D1" w:rsidRPr="006C386F">
        <w:rPr>
          <w:b/>
          <w:i/>
        </w:rPr>
        <w:t xml:space="preserve">9 </w:t>
      </w:r>
      <w:r w:rsidR="00C45A53">
        <w:rPr>
          <w:b/>
          <w:i/>
        </w:rPr>
        <w:t>m</w:t>
      </w:r>
      <w:r w:rsidR="004D26D1" w:rsidRPr="006C386F">
        <w:rPr>
          <w:b/>
          <w:i/>
        </w:rPr>
        <w:t>illion or 1</w:t>
      </w:r>
      <w:r w:rsidR="00A87AFA">
        <w:rPr>
          <w:b/>
          <w:i/>
        </w:rPr>
        <w:t>4</w:t>
      </w:r>
      <w:r w:rsidR="001775DE">
        <w:rPr>
          <w:b/>
          <w:i/>
        </w:rPr>
        <w:t>.3</w:t>
      </w:r>
      <w:r w:rsidR="00A87AFA">
        <w:rPr>
          <w:b/>
          <w:i/>
        </w:rPr>
        <w:t xml:space="preserve">% of </w:t>
      </w:r>
      <w:r w:rsidR="004008C5">
        <w:rPr>
          <w:b/>
          <w:i/>
        </w:rPr>
        <w:t>its</w:t>
      </w:r>
      <w:r w:rsidR="00044306">
        <w:rPr>
          <w:b/>
          <w:i/>
        </w:rPr>
        <w:t xml:space="preserve"> </w:t>
      </w:r>
      <w:r w:rsidR="00A87AFA">
        <w:rPr>
          <w:b/>
          <w:i/>
        </w:rPr>
        <w:t xml:space="preserve">overall budget of </w:t>
      </w:r>
      <w:r w:rsidR="005C7C95">
        <w:rPr>
          <w:b/>
          <w:i/>
        </w:rPr>
        <w:t>$</w:t>
      </w:r>
      <w:r w:rsidR="00C45A53">
        <w:rPr>
          <w:b/>
          <w:i/>
        </w:rPr>
        <w:t>62 m</w:t>
      </w:r>
      <w:r w:rsidR="004D26D1" w:rsidRPr="006C386F">
        <w:rPr>
          <w:b/>
          <w:i/>
        </w:rPr>
        <w:t xml:space="preserve">illion going to WMBE firms. </w:t>
      </w:r>
      <w:r w:rsidR="00044306">
        <w:rPr>
          <w:b/>
          <w:i/>
        </w:rPr>
        <w:t xml:space="preserve"> </w:t>
      </w:r>
      <w:r w:rsidR="001775DE">
        <w:rPr>
          <w:b/>
          <w:i/>
        </w:rPr>
        <w:t xml:space="preserve">Of that amount, $7.5 million or 17.6% </w:t>
      </w:r>
      <w:r w:rsidR="00481C35">
        <w:rPr>
          <w:b/>
          <w:i/>
        </w:rPr>
        <w:t xml:space="preserve">was </w:t>
      </w:r>
      <w:r w:rsidR="001775DE">
        <w:rPr>
          <w:b/>
          <w:i/>
        </w:rPr>
        <w:t xml:space="preserve">spent on WMBE consultants and $1.4 million or 7% on purchasing.  </w:t>
      </w:r>
      <w:r w:rsidR="000240A2" w:rsidRPr="00E17100">
        <w:rPr>
          <w:rFonts w:cs="Arial"/>
        </w:rPr>
        <w:t>Large dollar spending for consultants on “</w:t>
      </w:r>
      <w:r w:rsidR="000240A2" w:rsidRPr="00BC6349">
        <w:rPr>
          <w:rFonts w:cs="Arial"/>
        </w:rPr>
        <w:t xml:space="preserve">Mega Projects” such as the Street Car Network, the </w:t>
      </w:r>
      <w:r w:rsidRPr="00BC6349">
        <w:rPr>
          <w:rFonts w:cs="Arial"/>
        </w:rPr>
        <w:t>Elliott</w:t>
      </w:r>
      <w:r w:rsidR="000240A2" w:rsidRPr="00BC6349">
        <w:rPr>
          <w:rFonts w:cs="Arial"/>
        </w:rPr>
        <w:t xml:space="preserve"> Bay Seawall and the Seattle Waterfront project greatly impacted SDOT’s WMBE utilization </w:t>
      </w:r>
      <w:r w:rsidR="001775DE" w:rsidRPr="00BC6349">
        <w:rPr>
          <w:rFonts w:cs="Arial"/>
        </w:rPr>
        <w:t>calculations s</w:t>
      </w:r>
      <w:r w:rsidR="00206262" w:rsidRPr="00BC6349">
        <w:rPr>
          <w:rFonts w:cs="Arial"/>
        </w:rPr>
        <w:t>tarting in 20</w:t>
      </w:r>
      <w:r w:rsidR="000240A2" w:rsidRPr="00BC6349">
        <w:rPr>
          <w:rFonts w:cs="Arial"/>
        </w:rPr>
        <w:t>1</w:t>
      </w:r>
      <w:r w:rsidR="00206262" w:rsidRPr="00BC6349">
        <w:rPr>
          <w:rFonts w:cs="Arial"/>
        </w:rPr>
        <w:t>0</w:t>
      </w:r>
      <w:r w:rsidR="000240A2" w:rsidRPr="00BC6349">
        <w:rPr>
          <w:rFonts w:cs="Arial"/>
        </w:rPr>
        <w:t xml:space="preserve">. These are multi-year contracts and there was no centralized tool for tracking WMBE </w:t>
      </w:r>
      <w:r w:rsidR="00AF2F98" w:rsidRPr="00BC6349">
        <w:rPr>
          <w:rFonts w:cs="Arial"/>
        </w:rPr>
        <w:t>sub</w:t>
      </w:r>
      <w:r w:rsidR="00253527" w:rsidRPr="00BC6349">
        <w:rPr>
          <w:rFonts w:cs="Arial"/>
        </w:rPr>
        <w:t>-</w:t>
      </w:r>
      <w:r w:rsidR="00AF2F98" w:rsidRPr="00BC6349">
        <w:rPr>
          <w:rFonts w:cs="Arial"/>
        </w:rPr>
        <w:t xml:space="preserve">consultant </w:t>
      </w:r>
      <w:r w:rsidR="000240A2" w:rsidRPr="00BC6349">
        <w:rPr>
          <w:rFonts w:cs="Arial"/>
        </w:rPr>
        <w:t>participation. This made it difficult to provide an accurate accounting of performance for the department.</w:t>
      </w:r>
      <w:r w:rsidR="000240A2" w:rsidRPr="002B61FC">
        <w:rPr>
          <w:rFonts w:cs="Arial"/>
          <w:b/>
          <w:i/>
        </w:rPr>
        <w:t xml:space="preserve"> In 2012</w:t>
      </w:r>
      <w:r w:rsidR="00780F76">
        <w:rPr>
          <w:rFonts w:cs="Arial"/>
          <w:b/>
          <w:i/>
        </w:rPr>
        <w:t>,</w:t>
      </w:r>
      <w:r w:rsidR="000240A2" w:rsidRPr="002B61FC">
        <w:rPr>
          <w:rFonts w:cs="Arial"/>
          <w:b/>
          <w:i/>
        </w:rPr>
        <w:t xml:space="preserve"> SDOT isolated Four (4) Mega Projects from the department’s overall spend</w:t>
      </w:r>
      <w:r w:rsidR="00780F76">
        <w:rPr>
          <w:rFonts w:cs="Arial"/>
          <w:b/>
          <w:i/>
        </w:rPr>
        <w:t xml:space="preserve">: </w:t>
      </w:r>
      <w:r w:rsidR="000240A2" w:rsidRPr="002B61FC">
        <w:rPr>
          <w:rFonts w:cs="Arial"/>
          <w:b/>
          <w:i/>
        </w:rPr>
        <w:t xml:space="preserve">First Hill Streetcar, </w:t>
      </w:r>
      <w:r>
        <w:rPr>
          <w:rFonts w:cs="Arial"/>
          <w:b/>
          <w:bCs/>
          <w:i/>
        </w:rPr>
        <w:t>Elliott</w:t>
      </w:r>
      <w:r w:rsidR="000240A2" w:rsidRPr="002B61FC">
        <w:rPr>
          <w:rFonts w:cs="Arial"/>
          <w:b/>
          <w:bCs/>
          <w:i/>
        </w:rPr>
        <w:t xml:space="preserve"> Bay Seawall, </w:t>
      </w:r>
      <w:r w:rsidR="000240A2" w:rsidRPr="002B61FC">
        <w:rPr>
          <w:rFonts w:cs="Arial"/>
          <w:b/>
          <w:i/>
        </w:rPr>
        <w:t>Central Waterfront and Mercer West improvements</w:t>
      </w:r>
      <w:r w:rsidR="000240A2" w:rsidRPr="002B61FC">
        <w:rPr>
          <w:rFonts w:cs="Arial"/>
          <w:i/>
        </w:rPr>
        <w:t>.</w:t>
      </w:r>
      <w:r w:rsidR="000240A2" w:rsidRPr="0032643E">
        <w:rPr>
          <w:rFonts w:cs="Arial"/>
          <w:i/>
        </w:rPr>
        <w:t xml:space="preserve"> </w:t>
      </w:r>
      <w:r w:rsidR="001775DE" w:rsidRPr="00AF2F98">
        <w:rPr>
          <w:rFonts w:cs="Arial"/>
        </w:rPr>
        <w:t>Beginning in 2012</w:t>
      </w:r>
      <w:r w:rsidR="00AF2F98">
        <w:rPr>
          <w:rFonts w:cs="Arial"/>
        </w:rPr>
        <w:t>,</w:t>
      </w:r>
      <w:r w:rsidR="000240A2" w:rsidRPr="000240A2">
        <w:rPr>
          <w:rFonts w:cs="Arial"/>
          <w:i/>
        </w:rPr>
        <w:t xml:space="preserve"> </w:t>
      </w:r>
      <w:r w:rsidR="000240A2" w:rsidRPr="006868ED">
        <w:rPr>
          <w:rFonts w:cs="Arial"/>
        </w:rPr>
        <w:t xml:space="preserve">SDOT tracked WMBE </w:t>
      </w:r>
      <w:r w:rsidR="00253527">
        <w:rPr>
          <w:rFonts w:cs="Arial"/>
        </w:rPr>
        <w:t>s</w:t>
      </w:r>
      <w:r w:rsidR="00253527" w:rsidRPr="006868ED">
        <w:rPr>
          <w:rFonts w:cs="Arial"/>
        </w:rPr>
        <w:t>ub</w:t>
      </w:r>
      <w:r w:rsidR="00253527">
        <w:rPr>
          <w:rFonts w:cs="Arial"/>
        </w:rPr>
        <w:t>-c</w:t>
      </w:r>
      <w:r w:rsidR="000240A2" w:rsidRPr="006868ED">
        <w:rPr>
          <w:rFonts w:cs="Arial"/>
        </w:rPr>
        <w:t>onsultant utilization on these projects separately. This gave SDOT the ability to more accurately show</w:t>
      </w:r>
      <w:r w:rsidR="00A452AE">
        <w:rPr>
          <w:rFonts w:cs="Arial"/>
        </w:rPr>
        <w:t xml:space="preserve">case </w:t>
      </w:r>
      <w:r w:rsidR="000240A2" w:rsidRPr="006868ED">
        <w:rPr>
          <w:rFonts w:cs="Arial"/>
        </w:rPr>
        <w:t>the department’s true performance based on real WMBE opportunities</w:t>
      </w:r>
      <w:r w:rsidR="004008C5">
        <w:rPr>
          <w:rFonts w:cs="Arial"/>
        </w:rPr>
        <w:t>.</w:t>
      </w:r>
      <w:r w:rsidR="001775DE">
        <w:rPr>
          <w:rStyle w:val="FootnoteReference"/>
          <w:rFonts w:cs="Arial"/>
        </w:rPr>
        <w:footnoteReference w:id="1"/>
      </w:r>
      <w:r w:rsidR="00D42E69" w:rsidRPr="006868ED">
        <w:rPr>
          <w:rFonts w:cs="Arial"/>
        </w:rPr>
        <w:t xml:space="preserve">  </w:t>
      </w:r>
      <w:r w:rsidR="001775DE">
        <w:rPr>
          <w:rFonts w:cs="Arial"/>
        </w:rPr>
        <w:t xml:space="preserve">This is reflected in Table </w:t>
      </w:r>
      <w:r w:rsidR="004008C5">
        <w:rPr>
          <w:rFonts w:cs="Arial"/>
        </w:rPr>
        <w:t>2</w:t>
      </w:r>
      <w:r w:rsidR="001775DE">
        <w:rPr>
          <w:rFonts w:cs="Arial"/>
        </w:rPr>
        <w:t xml:space="preserve"> below.</w:t>
      </w:r>
      <w:r w:rsidR="0074769D">
        <w:rPr>
          <w:rFonts w:cs="Arial"/>
        </w:rPr>
        <w:t xml:space="preserve"> </w:t>
      </w:r>
    </w:p>
    <w:p w:rsidR="00BC6349" w:rsidRDefault="00BC6349" w:rsidP="004D26D1">
      <w:pPr>
        <w:rPr>
          <w:rFonts w:cs="Arial"/>
        </w:rPr>
      </w:pPr>
    </w:p>
    <w:p w:rsidR="00BC6349" w:rsidRDefault="00BC6349" w:rsidP="004D26D1">
      <w:pPr>
        <w:rPr>
          <w:rFonts w:cs="Arial"/>
        </w:rPr>
      </w:pPr>
    </w:p>
    <w:p w:rsidR="00BC6349" w:rsidRDefault="00BC6349" w:rsidP="004D26D1">
      <w:pPr>
        <w:rPr>
          <w:rFonts w:cs="Arial"/>
        </w:rPr>
      </w:pPr>
    </w:p>
    <w:p w:rsidR="00BC6349" w:rsidRDefault="00BC6349" w:rsidP="004D26D1">
      <w:pPr>
        <w:rPr>
          <w:rFonts w:cs="Arial"/>
        </w:rPr>
      </w:pPr>
    </w:p>
    <w:p w:rsidR="00BC6349" w:rsidRDefault="00BC6349" w:rsidP="004D26D1">
      <w:pPr>
        <w:rPr>
          <w:rFonts w:cs="Arial"/>
        </w:rPr>
      </w:pPr>
    </w:p>
    <w:p w:rsidR="00BC6349" w:rsidRDefault="00BC6349" w:rsidP="004D26D1">
      <w:pPr>
        <w:rPr>
          <w:rFonts w:cs="Arial"/>
        </w:rPr>
      </w:pPr>
    </w:p>
    <w:p w:rsidR="00BC6349" w:rsidRDefault="00BC6349" w:rsidP="004D26D1">
      <w:pPr>
        <w:rPr>
          <w:rFonts w:cs="Arial"/>
        </w:rPr>
      </w:pPr>
    </w:p>
    <w:p w:rsidR="004008C5" w:rsidRPr="000240A2" w:rsidRDefault="004008C5" w:rsidP="004008C5">
      <w:pPr>
        <w:jc w:val="center"/>
        <w:rPr>
          <w:rFonts w:cs="Arial"/>
          <w:i/>
        </w:rPr>
      </w:pPr>
      <w:r>
        <w:rPr>
          <w:b/>
        </w:rPr>
        <w:t xml:space="preserve">Table 2 </w:t>
      </w:r>
      <w:r w:rsidRPr="00C45A53">
        <w:rPr>
          <w:b/>
          <w:color w:val="000000" w:themeColor="text1"/>
        </w:rPr>
        <w:t>–</w:t>
      </w:r>
      <w:r>
        <w:rPr>
          <w:b/>
          <w:color w:val="000000" w:themeColor="text1"/>
        </w:rPr>
        <w:t xml:space="preserve"> </w:t>
      </w:r>
      <w:r>
        <w:rPr>
          <w:b/>
        </w:rPr>
        <w:t>2012 Performance</w:t>
      </w:r>
      <w:r w:rsidR="00631861">
        <w:rPr>
          <w:b/>
        </w:rPr>
        <w:t xml:space="preserve"> Summary</w:t>
      </w:r>
    </w:p>
    <w:tbl>
      <w:tblPr>
        <w:tblStyle w:val="TableGrid"/>
        <w:tblW w:w="0" w:type="auto"/>
        <w:jc w:val="center"/>
        <w:tblCellMar>
          <w:left w:w="115" w:type="dxa"/>
          <w:right w:w="115" w:type="dxa"/>
        </w:tblCellMar>
        <w:tblLook w:val="0000" w:firstRow="0" w:lastRow="0" w:firstColumn="0" w:lastColumn="0" w:noHBand="0" w:noVBand="0"/>
      </w:tblPr>
      <w:tblGrid>
        <w:gridCol w:w="4477"/>
        <w:gridCol w:w="1347"/>
        <w:gridCol w:w="1342"/>
        <w:gridCol w:w="1737"/>
      </w:tblGrid>
      <w:tr w:rsidR="001234D4" w:rsidRPr="00022524" w:rsidTr="00AF2F98">
        <w:trPr>
          <w:trHeight w:hRule="exact" w:val="288"/>
          <w:jc w:val="center"/>
        </w:trPr>
        <w:tc>
          <w:tcPr>
            <w:tcW w:w="4477" w:type="dxa"/>
            <w:tcBorders>
              <w:top w:val="single" w:sz="4" w:space="0" w:color="auto"/>
              <w:left w:val="single" w:sz="4" w:space="0" w:color="auto"/>
              <w:bottom w:val="single" w:sz="4" w:space="0" w:color="auto"/>
              <w:right w:val="single" w:sz="4" w:space="0" w:color="auto"/>
            </w:tcBorders>
            <w:shd w:val="clear" w:color="auto" w:fill="4F81BD" w:themeFill="accent1"/>
            <w:noWrap/>
          </w:tcPr>
          <w:p w:rsidR="001234D4" w:rsidRPr="00AF2F98" w:rsidRDefault="001234D4" w:rsidP="00153774">
            <w:pPr>
              <w:spacing w:line="240" w:lineRule="auto"/>
              <w:rPr>
                <w:b/>
                <w:color w:val="FFFFFF" w:themeColor="background1"/>
              </w:rPr>
            </w:pPr>
            <w:r w:rsidRPr="00AF2F98">
              <w:rPr>
                <w:b/>
                <w:color w:val="FFFFFF" w:themeColor="background1"/>
              </w:rPr>
              <w:t>Procurement Type</w:t>
            </w: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noWrap/>
          </w:tcPr>
          <w:p w:rsidR="001234D4" w:rsidRPr="00AF2F98" w:rsidRDefault="001234D4" w:rsidP="00153774">
            <w:pPr>
              <w:spacing w:line="240" w:lineRule="auto"/>
              <w:rPr>
                <w:b/>
                <w:color w:val="FFFFFF" w:themeColor="background1"/>
              </w:rPr>
            </w:pPr>
            <w:r w:rsidRPr="00AF2F98">
              <w:rPr>
                <w:b/>
                <w:color w:val="FFFFFF" w:themeColor="background1"/>
              </w:rPr>
              <w:t>Total</w:t>
            </w: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noWrap/>
          </w:tcPr>
          <w:p w:rsidR="001234D4" w:rsidRPr="00AF2F98" w:rsidRDefault="001234D4" w:rsidP="00153774">
            <w:pPr>
              <w:spacing w:line="240" w:lineRule="auto"/>
              <w:rPr>
                <w:b/>
                <w:color w:val="FFFFFF" w:themeColor="background1"/>
              </w:rPr>
            </w:pPr>
            <w:r w:rsidRPr="00AF2F98">
              <w:rPr>
                <w:b/>
                <w:color w:val="FFFFFF" w:themeColor="background1"/>
              </w:rPr>
              <w:t>WMBE</w:t>
            </w:r>
          </w:p>
        </w:tc>
        <w:tc>
          <w:tcPr>
            <w:tcW w:w="0" w:type="auto"/>
            <w:tcBorders>
              <w:top w:val="single" w:sz="4" w:space="0" w:color="auto"/>
              <w:left w:val="single" w:sz="4" w:space="0" w:color="auto"/>
              <w:bottom w:val="single" w:sz="4" w:space="0" w:color="auto"/>
              <w:right w:val="single" w:sz="4" w:space="0" w:color="auto"/>
            </w:tcBorders>
            <w:shd w:val="clear" w:color="auto" w:fill="4F81BD" w:themeFill="accent1"/>
            <w:noWrap/>
          </w:tcPr>
          <w:p w:rsidR="001234D4" w:rsidRPr="00AF2F98" w:rsidRDefault="001234D4" w:rsidP="00153774">
            <w:pPr>
              <w:spacing w:line="240" w:lineRule="auto"/>
              <w:rPr>
                <w:b/>
                <w:color w:val="FFFFFF" w:themeColor="background1"/>
              </w:rPr>
            </w:pPr>
            <w:r w:rsidRPr="00AF2F98">
              <w:rPr>
                <w:b/>
                <w:color w:val="FFFFFF" w:themeColor="background1"/>
              </w:rPr>
              <w:t>Percent of  Total</w:t>
            </w:r>
          </w:p>
        </w:tc>
      </w:tr>
      <w:tr w:rsidR="00E93837" w:rsidRPr="00022524" w:rsidTr="00A452AE">
        <w:trPr>
          <w:trHeight w:hRule="exact" w:val="360"/>
          <w:jc w:val="center"/>
        </w:trPr>
        <w:tc>
          <w:tcPr>
            <w:tcW w:w="4477" w:type="dxa"/>
            <w:tcBorders>
              <w:top w:val="single" w:sz="4" w:space="0" w:color="auto"/>
              <w:left w:val="single" w:sz="4" w:space="0" w:color="auto"/>
              <w:bottom w:val="single" w:sz="4" w:space="0" w:color="auto"/>
              <w:right w:val="single" w:sz="4" w:space="0" w:color="auto"/>
            </w:tcBorders>
            <w:noWrap/>
          </w:tcPr>
          <w:p w:rsidR="00E93837" w:rsidRPr="00243D2C" w:rsidRDefault="00E93837" w:rsidP="007F7057">
            <w:pPr>
              <w:spacing w:line="240" w:lineRule="auto"/>
            </w:pPr>
            <w:r w:rsidRPr="00243D2C">
              <w:t>Consultant</w:t>
            </w:r>
            <w:r w:rsidR="007719CE" w:rsidRPr="00243D2C">
              <w:t>/Less(4)</w:t>
            </w:r>
            <w:r w:rsidRPr="00243D2C">
              <w:t>Mega Projects</w:t>
            </w:r>
            <w:r w:rsidR="00892102" w:rsidRPr="00243D2C">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rsidR="00E93837" w:rsidRPr="00243D2C" w:rsidRDefault="00E93837" w:rsidP="007F7057">
            <w:pPr>
              <w:spacing w:line="240" w:lineRule="auto"/>
              <w:rPr>
                <w:rFonts w:cs="Arial"/>
                <w:color w:val="000000"/>
              </w:rPr>
            </w:pPr>
            <w:r w:rsidRPr="00243D2C">
              <w:t>$18,937,617</w:t>
            </w:r>
          </w:p>
        </w:tc>
        <w:tc>
          <w:tcPr>
            <w:tcW w:w="0" w:type="auto"/>
            <w:tcBorders>
              <w:top w:val="single" w:sz="4" w:space="0" w:color="auto"/>
              <w:left w:val="single" w:sz="4" w:space="0" w:color="auto"/>
              <w:bottom w:val="single" w:sz="4" w:space="0" w:color="auto"/>
              <w:right w:val="single" w:sz="4" w:space="0" w:color="auto"/>
            </w:tcBorders>
            <w:noWrap/>
            <w:vAlign w:val="center"/>
          </w:tcPr>
          <w:p w:rsidR="00E93837" w:rsidRPr="00243D2C" w:rsidRDefault="00E93837" w:rsidP="007F7057">
            <w:pPr>
              <w:spacing w:line="240" w:lineRule="auto"/>
              <w:jc w:val="center"/>
            </w:pPr>
            <w:r w:rsidRPr="00243D2C">
              <w:t>$3,250,664</w:t>
            </w:r>
          </w:p>
        </w:tc>
        <w:tc>
          <w:tcPr>
            <w:tcW w:w="0" w:type="auto"/>
            <w:tcBorders>
              <w:top w:val="single" w:sz="4" w:space="0" w:color="auto"/>
              <w:left w:val="single" w:sz="4" w:space="0" w:color="auto"/>
              <w:bottom w:val="single" w:sz="4" w:space="0" w:color="auto"/>
              <w:right w:val="single" w:sz="4" w:space="0" w:color="auto"/>
            </w:tcBorders>
            <w:noWrap/>
            <w:vAlign w:val="center"/>
          </w:tcPr>
          <w:p w:rsidR="00E93837" w:rsidRPr="00A452AE" w:rsidRDefault="00E93837" w:rsidP="007F7057">
            <w:pPr>
              <w:spacing w:line="240" w:lineRule="auto"/>
              <w:jc w:val="center"/>
              <w:rPr>
                <w:b/>
              </w:rPr>
            </w:pPr>
            <w:r w:rsidRPr="00A452AE">
              <w:rPr>
                <w:b/>
              </w:rPr>
              <w:t>17.2%</w:t>
            </w:r>
          </w:p>
        </w:tc>
      </w:tr>
      <w:tr w:rsidR="001234D4" w:rsidRPr="00022524" w:rsidTr="00A452AE">
        <w:trPr>
          <w:trHeight w:hRule="exact" w:val="360"/>
          <w:jc w:val="center"/>
        </w:trPr>
        <w:tc>
          <w:tcPr>
            <w:tcW w:w="4477" w:type="dxa"/>
            <w:tcBorders>
              <w:top w:val="single" w:sz="4" w:space="0" w:color="auto"/>
              <w:left w:val="single" w:sz="4" w:space="0" w:color="auto"/>
              <w:bottom w:val="single" w:sz="12" w:space="0" w:color="auto"/>
              <w:right w:val="single" w:sz="4" w:space="0" w:color="auto"/>
            </w:tcBorders>
            <w:noWrap/>
          </w:tcPr>
          <w:p w:rsidR="001234D4" w:rsidRPr="00243D2C" w:rsidRDefault="001234D4" w:rsidP="00253527">
            <w:pPr>
              <w:spacing w:line="240" w:lineRule="auto"/>
            </w:pPr>
            <w:r w:rsidRPr="00243D2C">
              <w:t>(4)Mega Projects</w:t>
            </w:r>
            <w:r w:rsidR="00E93837" w:rsidRPr="00243D2C">
              <w:t xml:space="preserve"> </w:t>
            </w:r>
            <w:r w:rsidR="00BD6466" w:rsidRPr="00243D2C">
              <w:t xml:space="preserve">+ WMBE </w:t>
            </w:r>
            <w:r w:rsidR="00253527">
              <w:t>s</w:t>
            </w:r>
            <w:r w:rsidR="00BD6466" w:rsidRPr="00243D2C">
              <w:t>ub</w:t>
            </w:r>
            <w:r w:rsidR="007378AC">
              <w:t>-</w:t>
            </w:r>
            <w:r w:rsidR="00253527">
              <w:t>c</w:t>
            </w:r>
            <w:r w:rsidR="00BD6466" w:rsidRPr="00243D2C">
              <w:t>onsultants</w:t>
            </w:r>
            <w:r w:rsidR="0099140D" w:rsidRPr="00243D2C">
              <w:t>*</w:t>
            </w:r>
          </w:p>
        </w:tc>
        <w:tc>
          <w:tcPr>
            <w:tcW w:w="0" w:type="auto"/>
            <w:tcBorders>
              <w:top w:val="single" w:sz="4" w:space="0" w:color="auto"/>
              <w:left w:val="single" w:sz="4" w:space="0" w:color="auto"/>
              <w:bottom w:val="single" w:sz="12" w:space="0" w:color="auto"/>
              <w:right w:val="single" w:sz="4" w:space="0" w:color="auto"/>
            </w:tcBorders>
            <w:noWrap/>
            <w:vAlign w:val="center"/>
          </w:tcPr>
          <w:p w:rsidR="001234D4" w:rsidRPr="00243D2C" w:rsidRDefault="00E93837" w:rsidP="007F7057">
            <w:pPr>
              <w:spacing w:line="240" w:lineRule="auto"/>
              <w:rPr>
                <w:rFonts w:cs="Arial"/>
                <w:color w:val="000000"/>
              </w:rPr>
            </w:pPr>
            <w:r w:rsidRPr="00243D2C">
              <w:t>$23,728,615</w:t>
            </w:r>
          </w:p>
        </w:tc>
        <w:tc>
          <w:tcPr>
            <w:tcW w:w="0" w:type="auto"/>
            <w:tcBorders>
              <w:top w:val="single" w:sz="4" w:space="0" w:color="auto"/>
              <w:left w:val="single" w:sz="4" w:space="0" w:color="auto"/>
              <w:bottom w:val="single" w:sz="12" w:space="0" w:color="auto"/>
              <w:right w:val="single" w:sz="4" w:space="0" w:color="auto"/>
            </w:tcBorders>
            <w:noWrap/>
            <w:vAlign w:val="center"/>
          </w:tcPr>
          <w:p w:rsidR="001234D4" w:rsidRPr="00243D2C" w:rsidRDefault="00991FF1" w:rsidP="007F7057">
            <w:pPr>
              <w:spacing w:line="240" w:lineRule="auto"/>
            </w:pPr>
            <w:r w:rsidRPr="00243D2C">
              <w:t>*</w:t>
            </w:r>
            <w:r w:rsidR="001234D4" w:rsidRPr="00243D2C">
              <w:t>$4,284,466</w:t>
            </w:r>
          </w:p>
        </w:tc>
        <w:tc>
          <w:tcPr>
            <w:tcW w:w="0" w:type="auto"/>
            <w:tcBorders>
              <w:top w:val="single" w:sz="4" w:space="0" w:color="auto"/>
              <w:left w:val="single" w:sz="4" w:space="0" w:color="auto"/>
              <w:bottom w:val="single" w:sz="12" w:space="0" w:color="auto"/>
              <w:right w:val="single" w:sz="4" w:space="0" w:color="auto"/>
            </w:tcBorders>
            <w:noWrap/>
            <w:vAlign w:val="center"/>
          </w:tcPr>
          <w:p w:rsidR="001234D4" w:rsidRPr="00A452AE" w:rsidRDefault="001234D4" w:rsidP="007F7057">
            <w:pPr>
              <w:spacing w:line="240" w:lineRule="auto"/>
              <w:jc w:val="center"/>
              <w:rPr>
                <w:b/>
              </w:rPr>
            </w:pPr>
            <w:r w:rsidRPr="00A452AE">
              <w:rPr>
                <w:b/>
              </w:rPr>
              <w:t>18%</w:t>
            </w:r>
          </w:p>
        </w:tc>
      </w:tr>
      <w:tr w:rsidR="001234D4" w:rsidRPr="00022524" w:rsidTr="00A452AE">
        <w:trPr>
          <w:trHeight w:hRule="exact" w:val="360"/>
          <w:jc w:val="center"/>
        </w:trPr>
        <w:tc>
          <w:tcPr>
            <w:tcW w:w="4477" w:type="dxa"/>
            <w:tcBorders>
              <w:top w:val="single" w:sz="12" w:space="0" w:color="auto"/>
              <w:left w:val="single" w:sz="4" w:space="0" w:color="auto"/>
              <w:bottom w:val="single" w:sz="4" w:space="0" w:color="auto"/>
              <w:right w:val="single" w:sz="4" w:space="0" w:color="auto"/>
            </w:tcBorders>
            <w:noWrap/>
          </w:tcPr>
          <w:p w:rsidR="001234D4" w:rsidRPr="00243D2C" w:rsidRDefault="001234D4" w:rsidP="007F7057">
            <w:pPr>
              <w:spacing w:line="240" w:lineRule="auto"/>
              <w:rPr>
                <w:b/>
              </w:rPr>
            </w:pPr>
            <w:r w:rsidRPr="00243D2C">
              <w:rPr>
                <w:b/>
              </w:rPr>
              <w:t>Consultant Total</w:t>
            </w:r>
            <w:r w:rsidR="00B97023" w:rsidRPr="00243D2C">
              <w:rPr>
                <w:b/>
              </w:rPr>
              <w:t xml:space="preserve"> w/WMBE </w:t>
            </w:r>
            <w:r w:rsidR="007378AC">
              <w:rPr>
                <w:b/>
              </w:rPr>
              <w:t>s</w:t>
            </w:r>
            <w:r w:rsidR="00B97023" w:rsidRPr="00243D2C">
              <w:rPr>
                <w:b/>
              </w:rPr>
              <w:t>ub-</w:t>
            </w:r>
            <w:r w:rsidR="007378AC">
              <w:rPr>
                <w:b/>
              </w:rPr>
              <w:t>c</w:t>
            </w:r>
            <w:r w:rsidR="00B97023" w:rsidRPr="00243D2C">
              <w:rPr>
                <w:b/>
              </w:rPr>
              <w:t>onsultants</w:t>
            </w:r>
            <w:r w:rsidR="0099140D" w:rsidRPr="00243D2C">
              <w:rPr>
                <w:b/>
              </w:rPr>
              <w:t>*</w:t>
            </w:r>
          </w:p>
        </w:tc>
        <w:tc>
          <w:tcPr>
            <w:tcW w:w="0" w:type="auto"/>
            <w:tcBorders>
              <w:top w:val="single" w:sz="12" w:space="0" w:color="auto"/>
              <w:left w:val="single" w:sz="4" w:space="0" w:color="auto"/>
              <w:bottom w:val="single" w:sz="4" w:space="0" w:color="auto"/>
              <w:right w:val="single" w:sz="4" w:space="0" w:color="auto"/>
            </w:tcBorders>
            <w:noWrap/>
          </w:tcPr>
          <w:p w:rsidR="001234D4" w:rsidRPr="00243D2C" w:rsidRDefault="001234D4" w:rsidP="007F7057">
            <w:pPr>
              <w:spacing w:line="240" w:lineRule="auto"/>
              <w:rPr>
                <w:b/>
              </w:rPr>
            </w:pPr>
            <w:r w:rsidRPr="00243D2C">
              <w:rPr>
                <w:rFonts w:cs="Arial"/>
                <w:b/>
              </w:rPr>
              <w:t>$42,666,232</w:t>
            </w:r>
          </w:p>
        </w:tc>
        <w:tc>
          <w:tcPr>
            <w:tcW w:w="0" w:type="auto"/>
            <w:tcBorders>
              <w:top w:val="single" w:sz="12" w:space="0" w:color="auto"/>
              <w:left w:val="single" w:sz="4" w:space="0" w:color="auto"/>
              <w:bottom w:val="single" w:sz="4" w:space="0" w:color="auto"/>
              <w:right w:val="single" w:sz="4" w:space="0" w:color="auto"/>
            </w:tcBorders>
            <w:noWrap/>
          </w:tcPr>
          <w:p w:rsidR="001234D4" w:rsidRPr="00243D2C" w:rsidRDefault="00B97023" w:rsidP="007F7057">
            <w:pPr>
              <w:spacing w:line="240" w:lineRule="auto"/>
              <w:jc w:val="center"/>
              <w:rPr>
                <w:b/>
              </w:rPr>
            </w:pPr>
            <w:r w:rsidRPr="00243D2C">
              <w:rPr>
                <w:b/>
              </w:rPr>
              <w:t>$7,535,110</w:t>
            </w:r>
          </w:p>
        </w:tc>
        <w:tc>
          <w:tcPr>
            <w:tcW w:w="0" w:type="auto"/>
            <w:tcBorders>
              <w:top w:val="single" w:sz="12" w:space="0" w:color="auto"/>
              <w:left w:val="single" w:sz="4" w:space="0" w:color="auto"/>
              <w:bottom w:val="single" w:sz="4" w:space="0" w:color="auto"/>
              <w:right w:val="single" w:sz="4" w:space="0" w:color="auto"/>
            </w:tcBorders>
            <w:noWrap/>
          </w:tcPr>
          <w:p w:rsidR="001234D4" w:rsidRPr="00A452AE" w:rsidRDefault="00991FF1" w:rsidP="007F7057">
            <w:pPr>
              <w:spacing w:line="240" w:lineRule="auto"/>
              <w:jc w:val="center"/>
            </w:pPr>
            <w:r w:rsidRPr="00A452AE">
              <w:t>17.6%</w:t>
            </w:r>
          </w:p>
        </w:tc>
      </w:tr>
      <w:tr w:rsidR="007F7057" w:rsidRPr="00022524" w:rsidTr="00A452AE">
        <w:trPr>
          <w:trHeight w:hRule="exact" w:val="360"/>
          <w:jc w:val="center"/>
        </w:trPr>
        <w:tc>
          <w:tcPr>
            <w:tcW w:w="4477" w:type="dxa"/>
            <w:tcBorders>
              <w:top w:val="single" w:sz="4" w:space="0" w:color="auto"/>
              <w:left w:val="single" w:sz="4" w:space="0" w:color="auto"/>
              <w:bottom w:val="single" w:sz="4" w:space="0" w:color="auto"/>
              <w:right w:val="single" w:sz="4" w:space="0" w:color="auto"/>
            </w:tcBorders>
            <w:noWrap/>
          </w:tcPr>
          <w:p w:rsidR="007F7057" w:rsidRPr="007F7057" w:rsidRDefault="007F7057" w:rsidP="007F7057">
            <w:pPr>
              <w:spacing w:line="240" w:lineRule="auto"/>
            </w:pPr>
            <w:r w:rsidRPr="007F7057">
              <w:t>Purchasing –Less Streetcar Purchases</w:t>
            </w:r>
          </w:p>
        </w:tc>
        <w:tc>
          <w:tcPr>
            <w:tcW w:w="0" w:type="auto"/>
            <w:tcBorders>
              <w:top w:val="single" w:sz="4" w:space="0" w:color="auto"/>
              <w:left w:val="single" w:sz="4" w:space="0" w:color="auto"/>
              <w:bottom w:val="single" w:sz="4" w:space="0" w:color="auto"/>
              <w:right w:val="single" w:sz="4" w:space="0" w:color="auto"/>
            </w:tcBorders>
            <w:noWrap/>
          </w:tcPr>
          <w:p w:rsidR="007F7057" w:rsidRPr="007F7057" w:rsidRDefault="007F7057" w:rsidP="007F7057">
            <w:pPr>
              <w:spacing w:line="240" w:lineRule="auto"/>
              <w:rPr>
                <w:rFonts w:ascii="Calibri" w:hAnsi="Calibri"/>
                <w:color w:val="000000"/>
              </w:rPr>
            </w:pPr>
            <w:r w:rsidRPr="007F7057">
              <w:rPr>
                <w:rFonts w:ascii="Calibri" w:hAnsi="Calibri" w:cs="Arial"/>
                <w:color w:val="000000"/>
              </w:rPr>
              <w:t xml:space="preserve">$14,319,076 </w:t>
            </w:r>
          </w:p>
        </w:tc>
        <w:tc>
          <w:tcPr>
            <w:tcW w:w="0" w:type="auto"/>
            <w:tcBorders>
              <w:top w:val="single" w:sz="4" w:space="0" w:color="auto"/>
              <w:left w:val="single" w:sz="4" w:space="0" w:color="auto"/>
              <w:bottom w:val="single" w:sz="4" w:space="0" w:color="auto"/>
              <w:right w:val="single" w:sz="4" w:space="0" w:color="auto"/>
            </w:tcBorders>
            <w:noWrap/>
          </w:tcPr>
          <w:p w:rsidR="007F7057" w:rsidRPr="007F7057" w:rsidRDefault="007F7057" w:rsidP="007F7057">
            <w:pPr>
              <w:spacing w:line="240" w:lineRule="auto"/>
              <w:jc w:val="center"/>
            </w:pPr>
            <w:r w:rsidRPr="007F7057">
              <w:t>$1,379,690</w:t>
            </w:r>
          </w:p>
        </w:tc>
        <w:tc>
          <w:tcPr>
            <w:tcW w:w="0" w:type="auto"/>
            <w:tcBorders>
              <w:top w:val="single" w:sz="4" w:space="0" w:color="auto"/>
              <w:left w:val="single" w:sz="4" w:space="0" w:color="auto"/>
              <w:bottom w:val="single" w:sz="4" w:space="0" w:color="auto"/>
              <w:right w:val="single" w:sz="4" w:space="0" w:color="auto"/>
            </w:tcBorders>
            <w:noWrap/>
          </w:tcPr>
          <w:p w:rsidR="007F7057" w:rsidRPr="00A452AE" w:rsidRDefault="007F7057" w:rsidP="007F7057">
            <w:pPr>
              <w:spacing w:line="240" w:lineRule="auto"/>
              <w:jc w:val="center"/>
              <w:rPr>
                <w:b/>
              </w:rPr>
            </w:pPr>
            <w:r w:rsidRPr="00A452AE">
              <w:rPr>
                <w:b/>
              </w:rPr>
              <w:t>9.6%</w:t>
            </w:r>
          </w:p>
        </w:tc>
      </w:tr>
      <w:tr w:rsidR="007F7057" w:rsidRPr="00022524" w:rsidTr="00A452AE">
        <w:trPr>
          <w:trHeight w:hRule="exact" w:val="360"/>
          <w:jc w:val="center"/>
        </w:trPr>
        <w:tc>
          <w:tcPr>
            <w:tcW w:w="4477" w:type="dxa"/>
            <w:tcBorders>
              <w:top w:val="single" w:sz="4" w:space="0" w:color="auto"/>
              <w:left w:val="single" w:sz="4" w:space="0" w:color="auto"/>
              <w:bottom w:val="single" w:sz="12" w:space="0" w:color="auto"/>
              <w:right w:val="single" w:sz="4" w:space="0" w:color="auto"/>
            </w:tcBorders>
            <w:noWrap/>
          </w:tcPr>
          <w:p w:rsidR="007F7057" w:rsidRPr="00243D2C" w:rsidRDefault="007F7057" w:rsidP="007F7057">
            <w:pPr>
              <w:spacing w:line="240" w:lineRule="auto"/>
              <w:rPr>
                <w:rFonts w:cs="Arial"/>
              </w:rPr>
            </w:pPr>
            <w:r w:rsidRPr="00243D2C">
              <w:rPr>
                <w:rFonts w:cs="Arial"/>
              </w:rPr>
              <w:t>Streetcar Purchase (No WMBE Opportunity)</w:t>
            </w:r>
            <w:r>
              <w:rPr>
                <w:rFonts w:cs="Arial"/>
              </w:rPr>
              <w:t>**</w:t>
            </w:r>
          </w:p>
        </w:tc>
        <w:tc>
          <w:tcPr>
            <w:tcW w:w="0" w:type="auto"/>
            <w:tcBorders>
              <w:top w:val="single" w:sz="4" w:space="0" w:color="auto"/>
              <w:left w:val="single" w:sz="4" w:space="0" w:color="auto"/>
              <w:bottom w:val="single" w:sz="12" w:space="0" w:color="auto"/>
              <w:right w:val="single" w:sz="4" w:space="0" w:color="auto"/>
            </w:tcBorders>
            <w:noWrap/>
          </w:tcPr>
          <w:p w:rsidR="007F7057" w:rsidRPr="00243D2C" w:rsidRDefault="007F7057" w:rsidP="007F7057">
            <w:pPr>
              <w:spacing w:line="240" w:lineRule="auto"/>
              <w:rPr>
                <w:rFonts w:cs="Arial"/>
              </w:rPr>
            </w:pPr>
            <w:r w:rsidRPr="00243D2C">
              <w:rPr>
                <w:rFonts w:cs="Arial"/>
              </w:rPr>
              <w:t>$5,215,151</w:t>
            </w:r>
          </w:p>
        </w:tc>
        <w:tc>
          <w:tcPr>
            <w:tcW w:w="0" w:type="auto"/>
            <w:tcBorders>
              <w:top w:val="single" w:sz="4" w:space="0" w:color="auto"/>
              <w:left w:val="single" w:sz="4" w:space="0" w:color="auto"/>
              <w:bottom w:val="single" w:sz="12" w:space="0" w:color="auto"/>
              <w:right w:val="single" w:sz="4" w:space="0" w:color="auto"/>
            </w:tcBorders>
            <w:noWrap/>
          </w:tcPr>
          <w:p w:rsidR="007F7057" w:rsidRPr="00243D2C" w:rsidRDefault="007F7057" w:rsidP="007F7057">
            <w:pPr>
              <w:spacing w:line="240" w:lineRule="auto"/>
              <w:jc w:val="center"/>
            </w:pPr>
            <w:r w:rsidRPr="00243D2C">
              <w:t>NA</w:t>
            </w:r>
          </w:p>
        </w:tc>
        <w:tc>
          <w:tcPr>
            <w:tcW w:w="0" w:type="auto"/>
            <w:tcBorders>
              <w:top w:val="single" w:sz="4" w:space="0" w:color="auto"/>
              <w:left w:val="single" w:sz="4" w:space="0" w:color="auto"/>
              <w:bottom w:val="single" w:sz="12" w:space="0" w:color="auto"/>
              <w:right w:val="single" w:sz="4" w:space="0" w:color="auto"/>
            </w:tcBorders>
            <w:noWrap/>
          </w:tcPr>
          <w:p w:rsidR="007F7057" w:rsidRPr="00A6502E" w:rsidRDefault="007F7057" w:rsidP="007F7057">
            <w:pPr>
              <w:spacing w:line="240" w:lineRule="auto"/>
              <w:jc w:val="center"/>
            </w:pPr>
            <w:r w:rsidRPr="00A6502E">
              <w:t>NA</w:t>
            </w:r>
          </w:p>
        </w:tc>
      </w:tr>
      <w:tr w:rsidR="007F7057" w:rsidRPr="00022524" w:rsidTr="00A452AE">
        <w:trPr>
          <w:trHeight w:hRule="exact" w:val="360"/>
          <w:jc w:val="center"/>
        </w:trPr>
        <w:tc>
          <w:tcPr>
            <w:tcW w:w="4477" w:type="dxa"/>
            <w:tcBorders>
              <w:top w:val="single" w:sz="12" w:space="0" w:color="auto"/>
              <w:left w:val="single" w:sz="4" w:space="0" w:color="auto"/>
              <w:bottom w:val="double" w:sz="4" w:space="0" w:color="auto"/>
              <w:right w:val="single" w:sz="4" w:space="0" w:color="auto"/>
            </w:tcBorders>
            <w:noWrap/>
          </w:tcPr>
          <w:p w:rsidR="007F7057" w:rsidRPr="007F7057" w:rsidRDefault="007F7057" w:rsidP="007F7057">
            <w:pPr>
              <w:spacing w:line="240" w:lineRule="auto"/>
              <w:rPr>
                <w:b/>
              </w:rPr>
            </w:pPr>
            <w:r w:rsidRPr="007F7057">
              <w:rPr>
                <w:b/>
              </w:rPr>
              <w:t>Purchasing Total w/Streetcar Purchases</w:t>
            </w:r>
          </w:p>
        </w:tc>
        <w:tc>
          <w:tcPr>
            <w:tcW w:w="0" w:type="auto"/>
            <w:tcBorders>
              <w:top w:val="single" w:sz="12" w:space="0" w:color="auto"/>
              <w:left w:val="single" w:sz="4" w:space="0" w:color="auto"/>
              <w:bottom w:val="double" w:sz="4" w:space="0" w:color="auto"/>
              <w:right w:val="single" w:sz="4" w:space="0" w:color="auto"/>
            </w:tcBorders>
            <w:noWrap/>
            <w:vAlign w:val="center"/>
          </w:tcPr>
          <w:p w:rsidR="007F7057" w:rsidRPr="007F7057" w:rsidRDefault="007F7057" w:rsidP="007F7057">
            <w:pPr>
              <w:spacing w:line="240" w:lineRule="auto"/>
              <w:rPr>
                <w:b/>
              </w:rPr>
            </w:pPr>
            <w:r w:rsidRPr="007F7057">
              <w:rPr>
                <w:b/>
              </w:rPr>
              <w:t>$19,534,227</w:t>
            </w:r>
          </w:p>
        </w:tc>
        <w:tc>
          <w:tcPr>
            <w:tcW w:w="0" w:type="auto"/>
            <w:tcBorders>
              <w:top w:val="single" w:sz="12" w:space="0" w:color="auto"/>
              <w:left w:val="single" w:sz="4" w:space="0" w:color="auto"/>
              <w:bottom w:val="double" w:sz="4" w:space="0" w:color="auto"/>
              <w:right w:val="single" w:sz="4" w:space="0" w:color="auto"/>
            </w:tcBorders>
            <w:noWrap/>
            <w:vAlign w:val="center"/>
          </w:tcPr>
          <w:p w:rsidR="007F7057" w:rsidRPr="007F7057" w:rsidRDefault="007F7057" w:rsidP="007F7057">
            <w:pPr>
              <w:spacing w:line="240" w:lineRule="auto"/>
              <w:jc w:val="center"/>
              <w:rPr>
                <w:b/>
              </w:rPr>
            </w:pPr>
            <w:r w:rsidRPr="007F7057">
              <w:rPr>
                <w:b/>
              </w:rPr>
              <w:t>$1,379,690</w:t>
            </w:r>
          </w:p>
        </w:tc>
        <w:tc>
          <w:tcPr>
            <w:tcW w:w="0" w:type="auto"/>
            <w:tcBorders>
              <w:top w:val="single" w:sz="12" w:space="0" w:color="auto"/>
              <w:left w:val="single" w:sz="4" w:space="0" w:color="auto"/>
              <w:bottom w:val="double" w:sz="4" w:space="0" w:color="auto"/>
              <w:right w:val="single" w:sz="4" w:space="0" w:color="auto"/>
            </w:tcBorders>
            <w:noWrap/>
            <w:vAlign w:val="center"/>
          </w:tcPr>
          <w:p w:rsidR="007F7057" w:rsidRPr="00A452AE" w:rsidRDefault="007F7057" w:rsidP="007F7057">
            <w:pPr>
              <w:spacing w:line="240" w:lineRule="auto"/>
              <w:jc w:val="center"/>
            </w:pPr>
            <w:r w:rsidRPr="00A452AE">
              <w:t>7%</w:t>
            </w:r>
          </w:p>
        </w:tc>
      </w:tr>
      <w:tr w:rsidR="007F7057" w:rsidRPr="00FB4CFC" w:rsidTr="00A452AE">
        <w:trPr>
          <w:trHeight w:hRule="exact" w:val="360"/>
          <w:jc w:val="center"/>
        </w:trPr>
        <w:tc>
          <w:tcPr>
            <w:tcW w:w="4477" w:type="dxa"/>
            <w:tcBorders>
              <w:top w:val="double" w:sz="4" w:space="0" w:color="auto"/>
              <w:left w:val="double" w:sz="4" w:space="0" w:color="auto"/>
              <w:bottom w:val="double" w:sz="4" w:space="0" w:color="auto"/>
              <w:right w:val="double" w:sz="4" w:space="0" w:color="auto"/>
            </w:tcBorders>
            <w:shd w:val="clear" w:color="auto" w:fill="C6D9F1" w:themeFill="text2" w:themeFillTint="33"/>
            <w:noWrap/>
          </w:tcPr>
          <w:p w:rsidR="007F7057" w:rsidRPr="00243D2C" w:rsidRDefault="007F7057" w:rsidP="007F7057">
            <w:pPr>
              <w:spacing w:line="240" w:lineRule="auto"/>
              <w:rPr>
                <w:b/>
                <w:i/>
                <w:highlight w:val="yellow"/>
              </w:rPr>
            </w:pPr>
            <w:r w:rsidRPr="00243D2C">
              <w:rPr>
                <w:b/>
                <w:i/>
              </w:rPr>
              <w:t>Grand Total</w:t>
            </w:r>
          </w:p>
        </w:tc>
        <w:tc>
          <w:tcPr>
            <w:tcW w:w="0" w:type="auto"/>
            <w:tcBorders>
              <w:top w:val="double" w:sz="4" w:space="0" w:color="auto"/>
              <w:left w:val="double" w:sz="4" w:space="0" w:color="auto"/>
              <w:bottom w:val="double" w:sz="4" w:space="0" w:color="auto"/>
              <w:right w:val="double" w:sz="4" w:space="0" w:color="auto"/>
            </w:tcBorders>
            <w:shd w:val="clear" w:color="auto" w:fill="C6D9F1" w:themeFill="text2" w:themeFillTint="33"/>
            <w:noWrap/>
          </w:tcPr>
          <w:p w:rsidR="007F7057" w:rsidRPr="00243D2C" w:rsidRDefault="007F7057" w:rsidP="007F7057">
            <w:pPr>
              <w:spacing w:line="240" w:lineRule="auto"/>
              <w:rPr>
                <w:b/>
                <w:i/>
                <w:highlight w:val="yellow"/>
              </w:rPr>
            </w:pPr>
            <w:r w:rsidRPr="00243D2C">
              <w:rPr>
                <w:rFonts w:cs="Arial"/>
                <w:b/>
                <w:bCs/>
                <w:i/>
                <w:color w:val="000000"/>
              </w:rPr>
              <w:t>$</w:t>
            </w:r>
            <w:r w:rsidRPr="00243D2C">
              <w:rPr>
                <w:rFonts w:cs="Arial"/>
                <w:b/>
                <w:bCs/>
                <w:color w:val="000000"/>
              </w:rPr>
              <w:t xml:space="preserve">62,380,361 </w:t>
            </w:r>
            <w:r w:rsidRPr="00243D2C">
              <w:rPr>
                <w:b/>
              </w:rPr>
              <w:t xml:space="preserve"> </w:t>
            </w:r>
            <w:r w:rsidRPr="00243D2C">
              <w:rPr>
                <w:b/>
                <w:i/>
              </w:rPr>
              <w:t xml:space="preserve"> </w:t>
            </w:r>
          </w:p>
        </w:tc>
        <w:tc>
          <w:tcPr>
            <w:tcW w:w="0" w:type="auto"/>
            <w:tcBorders>
              <w:top w:val="double" w:sz="4" w:space="0" w:color="auto"/>
              <w:left w:val="double" w:sz="4" w:space="0" w:color="auto"/>
              <w:bottom w:val="double" w:sz="4" w:space="0" w:color="auto"/>
              <w:right w:val="double" w:sz="4" w:space="0" w:color="auto"/>
            </w:tcBorders>
            <w:shd w:val="clear" w:color="auto" w:fill="C6D9F1" w:themeFill="text2" w:themeFillTint="33"/>
            <w:noWrap/>
          </w:tcPr>
          <w:p w:rsidR="007F7057" w:rsidRPr="00243D2C" w:rsidRDefault="007F7057" w:rsidP="007F7057">
            <w:pPr>
              <w:spacing w:line="240" w:lineRule="auto"/>
              <w:jc w:val="center"/>
              <w:rPr>
                <w:b/>
                <w:highlight w:val="yellow"/>
              </w:rPr>
            </w:pPr>
            <w:r w:rsidRPr="00243D2C">
              <w:rPr>
                <w:rFonts w:cs="Arial"/>
                <w:b/>
                <w:bCs/>
                <w:color w:val="000000"/>
              </w:rPr>
              <w:t>$8,914,820</w:t>
            </w:r>
          </w:p>
        </w:tc>
        <w:tc>
          <w:tcPr>
            <w:tcW w:w="0" w:type="auto"/>
            <w:tcBorders>
              <w:top w:val="double" w:sz="4" w:space="0" w:color="auto"/>
              <w:left w:val="double" w:sz="4" w:space="0" w:color="auto"/>
              <w:bottom w:val="double" w:sz="4" w:space="0" w:color="auto"/>
              <w:right w:val="double" w:sz="4" w:space="0" w:color="auto"/>
            </w:tcBorders>
            <w:shd w:val="clear" w:color="auto" w:fill="C6D9F1" w:themeFill="text2" w:themeFillTint="33"/>
            <w:noWrap/>
          </w:tcPr>
          <w:p w:rsidR="007F7057" w:rsidRPr="00A452AE" w:rsidRDefault="007F7057" w:rsidP="007F7057">
            <w:pPr>
              <w:spacing w:line="240" w:lineRule="auto"/>
              <w:jc w:val="center"/>
              <w:rPr>
                <w:i/>
                <w:highlight w:val="yellow"/>
              </w:rPr>
            </w:pPr>
            <w:r w:rsidRPr="00A452AE">
              <w:rPr>
                <w:i/>
              </w:rPr>
              <w:t>14.3%</w:t>
            </w:r>
          </w:p>
        </w:tc>
      </w:tr>
      <w:tr w:rsidR="007F7057" w:rsidRPr="00FB4CFC" w:rsidTr="006B2486">
        <w:trPr>
          <w:trHeight w:val="288"/>
          <w:jc w:val="center"/>
        </w:trPr>
        <w:tc>
          <w:tcPr>
            <w:tcW w:w="8903" w:type="dxa"/>
            <w:gridSpan w:val="4"/>
            <w:tcBorders>
              <w:top w:val="double" w:sz="4" w:space="0" w:color="auto"/>
              <w:left w:val="nil"/>
              <w:bottom w:val="nil"/>
              <w:right w:val="nil"/>
            </w:tcBorders>
            <w:noWrap/>
          </w:tcPr>
          <w:p w:rsidR="007F7057" w:rsidRPr="006B2486" w:rsidRDefault="007F7057" w:rsidP="0000258D">
            <w:pPr>
              <w:spacing w:after="0" w:line="240" w:lineRule="auto"/>
              <w:rPr>
                <w:b/>
                <w:i/>
                <w:sz w:val="18"/>
                <w:szCs w:val="18"/>
              </w:rPr>
            </w:pPr>
            <w:r w:rsidRPr="006B2486">
              <w:rPr>
                <w:b/>
                <w:i/>
                <w:sz w:val="18"/>
                <w:szCs w:val="18"/>
              </w:rPr>
              <w:t>Notes:</w:t>
            </w:r>
            <w:r w:rsidRPr="006B2486">
              <w:rPr>
                <w:i/>
                <w:sz w:val="18"/>
                <w:szCs w:val="18"/>
              </w:rPr>
              <w:t xml:space="preserve"> * All direct WMBE expenditures + WMBE subs on (4) M</w:t>
            </w:r>
            <w:r w:rsidR="0000258D">
              <w:rPr>
                <w:i/>
                <w:sz w:val="18"/>
                <w:szCs w:val="18"/>
              </w:rPr>
              <w:t>ega</w:t>
            </w:r>
            <w:r w:rsidRPr="006B2486">
              <w:rPr>
                <w:i/>
                <w:sz w:val="18"/>
                <w:szCs w:val="18"/>
              </w:rPr>
              <w:t xml:space="preserve"> Projects</w:t>
            </w:r>
            <w:r w:rsidRPr="006B2486">
              <w:rPr>
                <w:i/>
                <w:sz w:val="18"/>
                <w:szCs w:val="18"/>
              </w:rPr>
              <w:br/>
              <w:t>**Seattle Streetcar purchases</w:t>
            </w:r>
          </w:p>
        </w:tc>
      </w:tr>
    </w:tbl>
    <w:p w:rsidR="001775DE" w:rsidRDefault="001775DE" w:rsidP="006C1FE8">
      <w:pPr>
        <w:pStyle w:val="Heading3"/>
        <w:spacing w:before="100"/>
      </w:pPr>
    </w:p>
    <w:p w:rsidR="007435FD" w:rsidRPr="00BD15A4" w:rsidRDefault="007435FD">
      <w:r w:rsidRPr="00BD15A4">
        <w:t xml:space="preserve">Over $4.2million was spent with WMBE sub-consultants working on mega projects, which represents 18% of the total budget for all mega projects ($23.7 million). </w:t>
      </w:r>
      <w:r w:rsidR="00BD15A4" w:rsidRPr="00BD15A4">
        <w:t xml:space="preserve"> Over $3.2 million was spent with WMBE firms consulting on other SDOT projects; this represents 17.2% of the $18.9 million spent on other projects in 2012. Combining consultant spends from Mega Projects, </w:t>
      </w:r>
      <w:r w:rsidR="00BD15A4">
        <w:t xml:space="preserve">consultant spends from </w:t>
      </w:r>
      <w:r w:rsidR="00BD15A4" w:rsidRPr="00BD15A4">
        <w:t>traditional projects and purchasing</w:t>
      </w:r>
      <w:r w:rsidR="00BD15A4">
        <w:t xml:space="preserve"> spends</w:t>
      </w:r>
      <w:r w:rsidR="00BD15A4" w:rsidRPr="00BD15A4">
        <w:t xml:space="preserve">, SDOT spent $8.9 million with WMBE firms in 2012.  </w:t>
      </w:r>
    </w:p>
    <w:p w:rsidR="0022101D" w:rsidRDefault="0022101D" w:rsidP="006C1FE8">
      <w:pPr>
        <w:pStyle w:val="Heading3"/>
        <w:spacing w:before="100"/>
      </w:pPr>
      <w:r w:rsidRPr="00C424E9">
        <w:t>Consultant Contracting</w:t>
      </w:r>
    </w:p>
    <w:p w:rsidR="00C475E3" w:rsidRDefault="00C475E3" w:rsidP="00C475E3">
      <w:r>
        <w:t xml:space="preserve">Consultant contracting continues to be a strong area for SDOT. </w:t>
      </w:r>
      <w:r w:rsidRPr="005640B0">
        <w:rPr>
          <w:b/>
          <w:i/>
        </w:rPr>
        <w:t>2012 provided multiple opportunities a</w:t>
      </w:r>
      <w:r w:rsidR="00D50EC1" w:rsidRPr="005640B0">
        <w:rPr>
          <w:b/>
          <w:i/>
        </w:rPr>
        <w:t>t the sub-consultant level for high u</w:t>
      </w:r>
      <w:r w:rsidRPr="005640B0">
        <w:rPr>
          <w:b/>
          <w:i/>
        </w:rPr>
        <w:t>tilization of WMBE firms.</w:t>
      </w:r>
      <w:r w:rsidR="00D50EC1" w:rsidRPr="005640B0">
        <w:rPr>
          <w:b/>
          <w:i/>
        </w:rPr>
        <w:t xml:space="preserve"> </w:t>
      </w:r>
      <w:r w:rsidR="00D50EC1" w:rsidRPr="0039746B">
        <w:rPr>
          <w:b/>
          <w:i/>
        </w:rPr>
        <w:t>Size and scale of direct consultant contract</w:t>
      </w:r>
      <w:r w:rsidR="00024566">
        <w:rPr>
          <w:b/>
          <w:i/>
        </w:rPr>
        <w:t>s</w:t>
      </w:r>
      <w:r w:rsidR="00D50EC1" w:rsidRPr="0039746B">
        <w:rPr>
          <w:b/>
          <w:i/>
        </w:rPr>
        <w:t xml:space="preserve"> along with </w:t>
      </w:r>
      <w:r w:rsidR="006C1FE8">
        <w:rPr>
          <w:b/>
          <w:i/>
        </w:rPr>
        <w:t>efforts to</w:t>
      </w:r>
      <w:r w:rsidR="00D50EC1" w:rsidRPr="0039746B">
        <w:rPr>
          <w:b/>
          <w:i/>
        </w:rPr>
        <w:t xml:space="preserve"> bring more work inside to</w:t>
      </w:r>
      <w:r w:rsidR="000C5752">
        <w:rPr>
          <w:b/>
          <w:i/>
        </w:rPr>
        <w:t xml:space="preserve"> preserve </w:t>
      </w:r>
      <w:r w:rsidR="00D50EC1" w:rsidRPr="0039746B">
        <w:rPr>
          <w:b/>
          <w:i/>
        </w:rPr>
        <w:t>jobs in a weak economy</w:t>
      </w:r>
      <w:r w:rsidR="00A452AE" w:rsidRPr="00A452AE">
        <w:rPr>
          <w:b/>
          <w:i/>
        </w:rPr>
        <w:t xml:space="preserve"> </w:t>
      </w:r>
      <w:r w:rsidR="00A452AE">
        <w:rPr>
          <w:b/>
          <w:i/>
        </w:rPr>
        <w:t>continue</w:t>
      </w:r>
      <w:r w:rsidR="00A452AE" w:rsidRPr="0039746B">
        <w:rPr>
          <w:b/>
          <w:i/>
        </w:rPr>
        <w:t xml:space="preserve"> to be barrie</w:t>
      </w:r>
      <w:r w:rsidR="00024566">
        <w:rPr>
          <w:b/>
          <w:i/>
        </w:rPr>
        <w:t>rs</w:t>
      </w:r>
      <w:r w:rsidR="00A452AE">
        <w:rPr>
          <w:b/>
          <w:i/>
        </w:rPr>
        <w:t xml:space="preserve"> to WMBE contracting</w:t>
      </w:r>
      <w:r w:rsidR="00D50EC1" w:rsidRPr="0039746B">
        <w:rPr>
          <w:b/>
          <w:i/>
        </w:rPr>
        <w:t>.</w:t>
      </w:r>
      <w:r w:rsidR="00D50EC1">
        <w:t xml:space="preserve"> </w:t>
      </w:r>
      <w:r w:rsidR="005640B0" w:rsidRPr="00EB4D89">
        <w:t>In addition</w:t>
      </w:r>
      <w:r w:rsidR="005640B0" w:rsidRPr="00EB4D89">
        <w:rPr>
          <w:b/>
        </w:rPr>
        <w:t xml:space="preserve">, </w:t>
      </w:r>
      <w:r w:rsidR="000C5752">
        <w:t>f</w:t>
      </w:r>
      <w:r w:rsidR="00D50EC1" w:rsidRPr="00EB4D89">
        <w:t>ederal f</w:t>
      </w:r>
      <w:r w:rsidR="005640B0" w:rsidRPr="00EB4D89">
        <w:t>unding requirements do not allow SDOT</w:t>
      </w:r>
      <w:r w:rsidR="008C337B">
        <w:t xml:space="preserve"> </w:t>
      </w:r>
      <w:r w:rsidR="00946972">
        <w:t xml:space="preserve">to </w:t>
      </w:r>
      <w:r w:rsidR="008C337B">
        <w:t xml:space="preserve">use the </w:t>
      </w:r>
      <w:r w:rsidR="00946972">
        <w:t>C</w:t>
      </w:r>
      <w:r w:rsidR="00D50EC1" w:rsidRPr="00EB4D89">
        <w:t>ity’s new “Inclusion Plan”</w:t>
      </w:r>
      <w:r w:rsidR="005640B0" w:rsidRPr="00EB4D89">
        <w:t xml:space="preserve"> </w:t>
      </w:r>
      <w:r w:rsidR="00946972">
        <w:t xml:space="preserve">goals </w:t>
      </w:r>
      <w:r w:rsidR="000C5752">
        <w:t>on contracts with f</w:t>
      </w:r>
      <w:r w:rsidR="005640B0" w:rsidRPr="00EB4D89">
        <w:t>ederal fund</w:t>
      </w:r>
      <w:r w:rsidR="00946972">
        <w:t>s</w:t>
      </w:r>
      <w:r w:rsidR="005640B0" w:rsidRPr="0039746B">
        <w:rPr>
          <w:i/>
        </w:rPr>
        <w:t>.</w:t>
      </w:r>
      <w:r w:rsidR="005640B0">
        <w:t xml:space="preserve"> </w:t>
      </w:r>
      <w:r w:rsidR="00946972">
        <w:t>While t</w:t>
      </w:r>
      <w:r w:rsidR="005640B0">
        <w:t xml:space="preserve">his can limit WMBE participation but can be offset by </w:t>
      </w:r>
      <w:r w:rsidR="00024566">
        <w:t>Disadvantaged Business Enterprise (</w:t>
      </w:r>
      <w:r w:rsidR="005640B0">
        <w:t>DBE</w:t>
      </w:r>
      <w:r w:rsidR="00024566">
        <w:t>)</w:t>
      </w:r>
      <w:r w:rsidR="005640B0">
        <w:t xml:space="preserve"> participation</w:t>
      </w:r>
      <w:r w:rsidR="00946972">
        <w:t xml:space="preserve"> </w:t>
      </w:r>
      <w:r w:rsidR="008A758C">
        <w:t>as a great number of DBEs</w:t>
      </w:r>
      <w:r w:rsidR="0012045F">
        <w:t xml:space="preserve"> </w:t>
      </w:r>
      <w:r w:rsidR="008A758C">
        <w:t>are also WMBEs.</w:t>
      </w:r>
      <w:r w:rsidR="00946972">
        <w:t xml:space="preserve"> </w:t>
      </w:r>
    </w:p>
    <w:p w:rsidR="0022101D" w:rsidRPr="00AF051C" w:rsidRDefault="0022101D" w:rsidP="0053704E">
      <w:pPr>
        <w:pStyle w:val="Heading3"/>
        <w:rPr>
          <w:rFonts w:ascii="Arial" w:hAnsi="Arial" w:cs="Arial"/>
          <w:i/>
        </w:rPr>
      </w:pPr>
      <w:r w:rsidRPr="00AF051C">
        <w:t>Purchasing</w:t>
      </w:r>
    </w:p>
    <w:p w:rsidR="003E06E3" w:rsidRPr="0032643E" w:rsidRDefault="00F45194" w:rsidP="00AF051C">
      <w:pPr>
        <w:rPr>
          <w:b/>
          <w:i/>
        </w:rPr>
      </w:pPr>
      <w:r>
        <w:t>SDOT is</w:t>
      </w:r>
      <w:r w:rsidR="0022101D" w:rsidRPr="00913E86">
        <w:t xml:space="preserve"> committed to equality in purchasing and has directed all staff to expend the department’s purchasing dollars in a way that is fiscally responsible as well as equitable</w:t>
      </w:r>
      <w:r w:rsidR="00AF051C">
        <w:t>.</w:t>
      </w:r>
      <w:r w:rsidR="00AF051C">
        <w:rPr>
          <w:rFonts w:ascii="Arial" w:hAnsi="Arial" w:cs="Arial"/>
        </w:rPr>
        <w:t xml:space="preserve"> </w:t>
      </w:r>
      <w:r w:rsidR="003E06E3" w:rsidRPr="00E00982">
        <w:t xml:space="preserve">SDOT’s </w:t>
      </w:r>
      <w:r w:rsidR="003E06E3" w:rsidRPr="00AF051C">
        <w:t>First Hill Streetcar</w:t>
      </w:r>
      <w:r w:rsidR="003E06E3" w:rsidRPr="00E00982">
        <w:rPr>
          <w:b/>
        </w:rPr>
        <w:t xml:space="preserve"> </w:t>
      </w:r>
      <w:r w:rsidR="000C5752" w:rsidRPr="000C5752">
        <w:t xml:space="preserve">project </w:t>
      </w:r>
      <w:r w:rsidR="00E00982" w:rsidRPr="00E00982">
        <w:t>purchased street car equipment in 2012, which amounted to $5.2 million</w:t>
      </w:r>
      <w:r w:rsidR="00E00982" w:rsidRPr="00E00982">
        <w:rPr>
          <w:b/>
        </w:rPr>
        <w:t xml:space="preserve">. </w:t>
      </w:r>
      <w:r w:rsidR="003E06E3" w:rsidRPr="00E00982">
        <w:t xml:space="preserve">Unfortunately, </w:t>
      </w:r>
      <w:r w:rsidR="00E00982" w:rsidRPr="00E00982">
        <w:t xml:space="preserve">there </w:t>
      </w:r>
      <w:r w:rsidR="006C1FE8">
        <w:t>are</w:t>
      </w:r>
      <w:r w:rsidR="00E00982" w:rsidRPr="00E00982">
        <w:t xml:space="preserve"> no WMBE vendors with the capacity to provide this equipment. These purchases represent 27% of total purchases in 2012. </w:t>
      </w:r>
      <w:r w:rsidR="003D24D0" w:rsidRPr="0032643E">
        <w:rPr>
          <w:b/>
          <w:i/>
        </w:rPr>
        <w:t xml:space="preserve">SDOT </w:t>
      </w:r>
      <w:r w:rsidR="00586918">
        <w:rPr>
          <w:b/>
          <w:i/>
        </w:rPr>
        <w:t xml:space="preserve">ended </w:t>
      </w:r>
      <w:r w:rsidR="003D24D0" w:rsidRPr="0032643E">
        <w:rPr>
          <w:b/>
          <w:i/>
        </w:rPr>
        <w:t xml:space="preserve">2012 with a </w:t>
      </w:r>
      <w:r w:rsidR="00EB4D89">
        <w:rPr>
          <w:b/>
          <w:i/>
        </w:rPr>
        <w:t>9.6</w:t>
      </w:r>
      <w:r w:rsidR="003D24D0" w:rsidRPr="0032643E">
        <w:rPr>
          <w:b/>
          <w:i/>
        </w:rPr>
        <w:t>% utilization rate for WMBEs</w:t>
      </w:r>
      <w:r w:rsidR="006C1FE8">
        <w:rPr>
          <w:b/>
          <w:i/>
        </w:rPr>
        <w:t xml:space="preserve"> in purchasing</w:t>
      </w:r>
      <w:r w:rsidR="00946972">
        <w:rPr>
          <w:b/>
          <w:i/>
        </w:rPr>
        <w:t xml:space="preserve"> – excluding </w:t>
      </w:r>
      <w:r w:rsidR="009B3A41">
        <w:rPr>
          <w:b/>
          <w:i/>
        </w:rPr>
        <w:t xml:space="preserve">First Hill </w:t>
      </w:r>
      <w:r w:rsidR="00946972">
        <w:rPr>
          <w:b/>
          <w:i/>
        </w:rPr>
        <w:t>Street Car purchase</w:t>
      </w:r>
      <w:r w:rsidR="009B3A41">
        <w:rPr>
          <w:b/>
          <w:i/>
        </w:rPr>
        <w:t>s</w:t>
      </w:r>
      <w:r w:rsidR="003D24D0" w:rsidRPr="0032643E">
        <w:rPr>
          <w:b/>
          <w:i/>
        </w:rPr>
        <w:t>.</w:t>
      </w:r>
    </w:p>
    <w:p w:rsidR="003D24D0" w:rsidRDefault="003D24D0" w:rsidP="002B61FC">
      <w:pPr>
        <w:spacing w:after="0" w:line="240" w:lineRule="auto"/>
        <w:rPr>
          <w:b/>
        </w:rPr>
      </w:pPr>
      <w:r w:rsidRPr="0032643E">
        <w:t xml:space="preserve">In 2012, </w:t>
      </w:r>
      <w:r w:rsidRPr="00EB4D89">
        <w:t xml:space="preserve">SDOT spent more </w:t>
      </w:r>
      <w:r w:rsidR="0032643E" w:rsidRPr="00EB4D89">
        <w:t>money than in 2011 on purchases</w:t>
      </w:r>
      <w:r w:rsidR="002B61FC">
        <w:rPr>
          <w:b/>
          <w:i/>
        </w:rPr>
        <w:t xml:space="preserve">; </w:t>
      </w:r>
      <w:r w:rsidR="002B61FC">
        <w:t>t</w:t>
      </w:r>
      <w:r w:rsidRPr="00EB4D89">
        <w:t xml:space="preserve">here was </w:t>
      </w:r>
      <w:r w:rsidR="00586918" w:rsidRPr="00EB4D89">
        <w:t>a 45% increase in purchasing spends</w:t>
      </w:r>
      <w:r w:rsidRPr="00EB4D89">
        <w:t xml:space="preserve"> between 2011 and 2012</w:t>
      </w:r>
      <w:r w:rsidR="002B61FC">
        <w:t xml:space="preserve">. </w:t>
      </w:r>
      <w:r w:rsidRPr="0032643E">
        <w:t>More money was sp</w:t>
      </w:r>
      <w:r w:rsidR="007719CE">
        <w:t>ent with non-WMBE firms in 2012. H</w:t>
      </w:r>
      <w:r w:rsidRPr="0032643E">
        <w:t>owever, in many cases WMBE firms were not available</w:t>
      </w:r>
      <w:r w:rsidR="00D22423">
        <w:t xml:space="preserve"> in the areas of purchase</w:t>
      </w:r>
      <w:r w:rsidRPr="0032643E">
        <w:t>.  </w:t>
      </w:r>
      <w:r w:rsidRPr="002B61FC">
        <w:rPr>
          <w:b/>
        </w:rPr>
        <w:t>Over $2.8 million was spent on technology supplies and support</w:t>
      </w:r>
      <w:r w:rsidR="007719CE" w:rsidRPr="002B61FC">
        <w:rPr>
          <w:b/>
        </w:rPr>
        <w:t xml:space="preserve"> </w:t>
      </w:r>
      <w:r w:rsidRPr="002B61FC">
        <w:rPr>
          <w:b/>
        </w:rPr>
        <w:t>in 2012. </w:t>
      </w:r>
      <w:r w:rsidR="0032643E" w:rsidRPr="002B61FC">
        <w:rPr>
          <w:b/>
        </w:rPr>
        <w:t>This represents</w:t>
      </w:r>
      <w:r w:rsidRPr="002B61FC">
        <w:rPr>
          <w:b/>
        </w:rPr>
        <w:t xml:space="preserve"> a 128% increase in spending on those products between 2011 and 2012.</w:t>
      </w:r>
    </w:p>
    <w:p w:rsidR="004F4F85" w:rsidRDefault="001A33E1" w:rsidP="0000258D">
      <w:pPr>
        <w:pStyle w:val="Heading1"/>
        <w:spacing w:before="440"/>
      </w:pPr>
      <w:r>
        <w:lastRenderedPageBreak/>
        <w:t>Moving Forward in 2013</w:t>
      </w:r>
    </w:p>
    <w:p w:rsidR="004F4F85" w:rsidRDefault="00FB4CFC">
      <w:pPr>
        <w:pStyle w:val="Heading2"/>
      </w:pPr>
      <w:r w:rsidRPr="0053704E">
        <w:t>2013</w:t>
      </w:r>
      <w:r w:rsidR="00D17759" w:rsidRPr="0053704E">
        <w:t xml:space="preserve"> </w:t>
      </w:r>
      <w:r w:rsidR="00A001A0" w:rsidRPr="0053704E">
        <w:t>Voluntary Target for Seattle Department of Transportation</w:t>
      </w:r>
    </w:p>
    <w:p w:rsidR="00D17759" w:rsidRDefault="0000258D" w:rsidP="00A001A0">
      <w:r>
        <w:t>For</w:t>
      </w:r>
      <w:r w:rsidR="000F2AC6">
        <w:t xml:space="preserve"> </w:t>
      </w:r>
      <w:r w:rsidR="00116051" w:rsidRPr="00FB4CFC">
        <w:t>201</w:t>
      </w:r>
      <w:r w:rsidR="00154FA6">
        <w:t>3</w:t>
      </w:r>
      <w:r w:rsidR="00116051" w:rsidRPr="00FB4CFC">
        <w:t xml:space="preserve">, SDOT has established </w:t>
      </w:r>
      <w:r w:rsidR="00895F9F" w:rsidRPr="00FB4CFC">
        <w:t>a voluntary goal of 10</w:t>
      </w:r>
      <w:r w:rsidR="00116051" w:rsidRPr="00FB4CFC">
        <w:t>% utilization of WMBE</w:t>
      </w:r>
      <w:r w:rsidR="00E97A1D">
        <w:t xml:space="preserve"> fo</w:t>
      </w:r>
      <w:r w:rsidR="00116051" w:rsidRPr="00FB4CFC">
        <w:t xml:space="preserve">r purchasing and consulting. </w:t>
      </w:r>
      <w:r w:rsidR="00895F9F" w:rsidRPr="00FB4CFC">
        <w:t xml:space="preserve">SDOT will </w:t>
      </w:r>
      <w:r w:rsidR="00E00982">
        <w:t>t</w:t>
      </w:r>
      <w:r w:rsidR="00895F9F" w:rsidRPr="00FB4CFC">
        <w:t>rack</w:t>
      </w:r>
      <w:r w:rsidR="00E00982">
        <w:t xml:space="preserve"> the </w:t>
      </w:r>
      <w:r w:rsidR="00895F9F" w:rsidRPr="00FB4CFC">
        <w:t>four “</w:t>
      </w:r>
      <w:r>
        <w:t xml:space="preserve">mega </w:t>
      </w:r>
      <w:r w:rsidR="00E00982">
        <w:t>p</w:t>
      </w:r>
      <w:r w:rsidR="00895F9F" w:rsidRPr="00FB4CFC">
        <w:t>rojects</w:t>
      </w:r>
      <w:r w:rsidR="00E00982">
        <w:t>” separately</w:t>
      </w:r>
      <w:r w:rsidR="00A87AFA">
        <w:t xml:space="preserve"> with a goal of 14%</w:t>
      </w:r>
      <w:r w:rsidR="00E00982">
        <w:t xml:space="preserve">. </w:t>
      </w:r>
      <w:r w:rsidR="00895F9F" w:rsidRPr="00FB4CFC">
        <w:t xml:space="preserve"> </w:t>
      </w:r>
    </w:p>
    <w:p w:rsidR="000C4490" w:rsidRPr="00FB4CFC" w:rsidRDefault="000C4490" w:rsidP="000C4490">
      <w:pPr>
        <w:jc w:val="center"/>
      </w:pPr>
      <w:r>
        <w:rPr>
          <w:b/>
        </w:rPr>
        <w:t xml:space="preserve">Table 3 </w:t>
      </w:r>
      <w:r w:rsidRPr="00C45A53">
        <w:rPr>
          <w:b/>
          <w:color w:val="000000" w:themeColor="text1"/>
        </w:rPr>
        <w:t>–</w:t>
      </w:r>
      <w:r>
        <w:rPr>
          <w:b/>
          <w:color w:val="000000" w:themeColor="text1"/>
        </w:rPr>
        <w:t xml:space="preserve"> </w:t>
      </w:r>
      <w:r>
        <w:rPr>
          <w:b/>
        </w:rPr>
        <w:t>2013 Voluntary Targets</w:t>
      </w:r>
    </w:p>
    <w:tbl>
      <w:tblPr>
        <w:tblStyle w:val="MediumGrid3-Accent1"/>
        <w:tblW w:w="0" w:type="auto"/>
        <w:jc w:val="center"/>
        <w:tblLook w:val="04A0" w:firstRow="1" w:lastRow="0" w:firstColumn="1" w:lastColumn="0" w:noHBand="0" w:noVBand="1"/>
      </w:tblPr>
      <w:tblGrid>
        <w:gridCol w:w="2178"/>
        <w:gridCol w:w="1710"/>
      </w:tblGrid>
      <w:tr w:rsidR="00C971A0" w:rsidTr="005370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gridSpan w:val="2"/>
          </w:tcPr>
          <w:p w:rsidR="00C971A0" w:rsidRPr="006B2486" w:rsidRDefault="00C971A0" w:rsidP="00C971A0">
            <w:pPr>
              <w:jc w:val="center"/>
              <w:rPr>
                <w:rFonts w:cs="Arial"/>
                <w:b w:val="0"/>
                <w:sz w:val="24"/>
                <w:szCs w:val="24"/>
              </w:rPr>
            </w:pPr>
            <w:r w:rsidRPr="006B2486">
              <w:rPr>
                <w:rFonts w:cs="Arial"/>
                <w:b w:val="0"/>
                <w:sz w:val="24"/>
                <w:szCs w:val="24"/>
              </w:rPr>
              <w:t>Voluntary WMBE Targets</w:t>
            </w:r>
          </w:p>
        </w:tc>
      </w:tr>
      <w:tr w:rsidR="00C971A0" w:rsidTr="005370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tcPr>
          <w:p w:rsidR="00C971A0" w:rsidRPr="006B2486" w:rsidRDefault="00C971A0" w:rsidP="00C971A0">
            <w:pPr>
              <w:jc w:val="center"/>
              <w:rPr>
                <w:rFonts w:cs="Arial"/>
                <w:b w:val="0"/>
                <w:color w:val="auto"/>
                <w:sz w:val="24"/>
                <w:szCs w:val="24"/>
              </w:rPr>
            </w:pPr>
            <w:r w:rsidRPr="006B2486">
              <w:rPr>
                <w:rFonts w:cs="Arial"/>
                <w:b w:val="0"/>
                <w:color w:val="auto"/>
                <w:sz w:val="24"/>
                <w:szCs w:val="24"/>
              </w:rPr>
              <w:t>Purchasing</w:t>
            </w:r>
          </w:p>
        </w:tc>
        <w:tc>
          <w:tcPr>
            <w:tcW w:w="1710" w:type="dxa"/>
            <w:shd w:val="clear" w:color="auto" w:fill="auto"/>
          </w:tcPr>
          <w:p w:rsidR="00C971A0" w:rsidRPr="006B2486" w:rsidRDefault="00C971A0" w:rsidP="00C971A0">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B2486">
              <w:rPr>
                <w:rFonts w:cs="Arial"/>
                <w:b/>
                <w:sz w:val="24"/>
                <w:szCs w:val="24"/>
              </w:rPr>
              <w:t>10%</w:t>
            </w:r>
          </w:p>
        </w:tc>
      </w:tr>
      <w:tr w:rsidR="00C971A0" w:rsidTr="0053704E">
        <w:trPr>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tcPr>
          <w:p w:rsidR="00C971A0" w:rsidRPr="006B2486" w:rsidRDefault="00C971A0" w:rsidP="00C971A0">
            <w:pPr>
              <w:jc w:val="center"/>
              <w:rPr>
                <w:rFonts w:cs="Arial"/>
                <w:b w:val="0"/>
                <w:color w:val="auto"/>
                <w:sz w:val="24"/>
                <w:szCs w:val="24"/>
              </w:rPr>
            </w:pPr>
            <w:r w:rsidRPr="006B2486">
              <w:rPr>
                <w:rFonts w:cs="Arial"/>
                <w:b w:val="0"/>
                <w:color w:val="auto"/>
                <w:sz w:val="24"/>
                <w:szCs w:val="24"/>
              </w:rPr>
              <w:t>Consulting</w:t>
            </w:r>
          </w:p>
        </w:tc>
        <w:tc>
          <w:tcPr>
            <w:tcW w:w="1710" w:type="dxa"/>
            <w:shd w:val="clear" w:color="auto" w:fill="auto"/>
          </w:tcPr>
          <w:p w:rsidR="00C971A0" w:rsidRPr="006B2486" w:rsidRDefault="00C971A0" w:rsidP="00C971A0">
            <w:pPr>
              <w:jc w:val="center"/>
              <w:cnfStyle w:val="000000000000" w:firstRow="0" w:lastRow="0" w:firstColumn="0" w:lastColumn="0" w:oddVBand="0" w:evenVBand="0" w:oddHBand="0" w:evenHBand="0" w:firstRowFirstColumn="0" w:firstRowLastColumn="0" w:lastRowFirstColumn="0" w:lastRowLastColumn="0"/>
              <w:rPr>
                <w:rFonts w:cs="Arial"/>
                <w:b/>
                <w:sz w:val="24"/>
                <w:szCs w:val="24"/>
              </w:rPr>
            </w:pPr>
            <w:r w:rsidRPr="006B2486">
              <w:rPr>
                <w:rFonts w:cs="Arial"/>
                <w:b/>
                <w:sz w:val="24"/>
                <w:szCs w:val="24"/>
              </w:rPr>
              <w:t>10%</w:t>
            </w:r>
          </w:p>
        </w:tc>
      </w:tr>
      <w:tr w:rsidR="00D92624" w:rsidTr="005370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tcPr>
          <w:p w:rsidR="00D92624" w:rsidRPr="006B2486" w:rsidRDefault="00D92624" w:rsidP="00C971A0">
            <w:pPr>
              <w:jc w:val="center"/>
              <w:rPr>
                <w:rFonts w:cs="Arial"/>
                <w:b w:val="0"/>
                <w:color w:val="auto"/>
                <w:sz w:val="24"/>
                <w:szCs w:val="24"/>
              </w:rPr>
            </w:pPr>
            <w:r w:rsidRPr="006B2486">
              <w:rPr>
                <w:rFonts w:cs="Arial"/>
                <w:b w:val="0"/>
                <w:color w:val="auto"/>
                <w:sz w:val="24"/>
                <w:szCs w:val="24"/>
              </w:rPr>
              <w:t>Mega Projects</w:t>
            </w:r>
          </w:p>
        </w:tc>
        <w:tc>
          <w:tcPr>
            <w:tcW w:w="1710" w:type="dxa"/>
            <w:shd w:val="clear" w:color="auto" w:fill="auto"/>
          </w:tcPr>
          <w:p w:rsidR="00D92624" w:rsidRPr="006B2486" w:rsidRDefault="00A87AFA" w:rsidP="00C971A0">
            <w:pPr>
              <w:jc w:val="center"/>
              <w:cnfStyle w:val="000000100000" w:firstRow="0" w:lastRow="0" w:firstColumn="0" w:lastColumn="0" w:oddVBand="0" w:evenVBand="0" w:oddHBand="1" w:evenHBand="0" w:firstRowFirstColumn="0" w:firstRowLastColumn="0" w:lastRowFirstColumn="0" w:lastRowLastColumn="0"/>
              <w:rPr>
                <w:rFonts w:cs="Arial"/>
                <w:b/>
                <w:sz w:val="24"/>
                <w:szCs w:val="24"/>
              </w:rPr>
            </w:pPr>
            <w:r w:rsidRPr="006B2486">
              <w:rPr>
                <w:rFonts w:cs="Arial"/>
                <w:b/>
                <w:sz w:val="24"/>
                <w:szCs w:val="24"/>
              </w:rPr>
              <w:t>14</w:t>
            </w:r>
            <w:r w:rsidR="00D92624" w:rsidRPr="006B2486">
              <w:rPr>
                <w:rFonts w:cs="Arial"/>
                <w:b/>
                <w:sz w:val="24"/>
                <w:szCs w:val="24"/>
              </w:rPr>
              <w:t>%</w:t>
            </w:r>
          </w:p>
        </w:tc>
      </w:tr>
    </w:tbl>
    <w:p w:rsidR="0020601D" w:rsidRPr="00E76A5D" w:rsidRDefault="00B37134" w:rsidP="00E76A5D">
      <w:pPr>
        <w:pStyle w:val="Heading2"/>
      </w:pPr>
      <w:r w:rsidRPr="00E76A5D">
        <w:t>P</w:t>
      </w:r>
      <w:r w:rsidR="00116051" w:rsidRPr="00E76A5D">
        <w:t>urchasing</w:t>
      </w:r>
      <w:r w:rsidRPr="00E76A5D">
        <w:t xml:space="preserve"> </w:t>
      </w:r>
    </w:p>
    <w:p w:rsidR="00FE109F" w:rsidRDefault="00FE109F" w:rsidP="008348CD">
      <w:r w:rsidRPr="00E76A5D">
        <w:t xml:space="preserve">SDOT purchases a variety of goods and services through three methods: blanket contracts, purchase contracts and direct vouchers.  This section summarizes the progress made in </w:t>
      </w:r>
      <w:r w:rsidR="00154FA6" w:rsidRPr="00E76A5D">
        <w:t xml:space="preserve">2012 </w:t>
      </w:r>
      <w:r w:rsidRPr="00E76A5D">
        <w:t>and makes recommendations for 201</w:t>
      </w:r>
      <w:r w:rsidR="00154FA6" w:rsidRPr="00E76A5D">
        <w:t>3</w:t>
      </w:r>
      <w:r w:rsidRPr="00E76A5D">
        <w:t>.</w:t>
      </w:r>
    </w:p>
    <w:p w:rsidR="00283599" w:rsidRPr="00FB4CFC" w:rsidRDefault="00283599" w:rsidP="00283599">
      <w:pPr>
        <w:jc w:val="center"/>
      </w:pPr>
      <w:r>
        <w:rPr>
          <w:b/>
        </w:rPr>
        <w:t xml:space="preserve">Table 4 </w:t>
      </w:r>
      <w:r w:rsidRPr="00C45A53">
        <w:rPr>
          <w:b/>
          <w:color w:val="000000" w:themeColor="text1"/>
        </w:rPr>
        <w:t>–</w:t>
      </w:r>
      <w:r>
        <w:rPr>
          <w:b/>
          <w:color w:val="000000" w:themeColor="text1"/>
        </w:rPr>
        <w:t xml:space="preserve"> </w:t>
      </w:r>
      <w:r w:rsidR="00EA289A">
        <w:rPr>
          <w:b/>
          <w:color w:val="000000" w:themeColor="text1"/>
        </w:rPr>
        <w:t xml:space="preserve">Adjusted Purchases </w:t>
      </w:r>
      <w:r>
        <w:rPr>
          <w:b/>
        </w:rPr>
        <w:t>History</w:t>
      </w:r>
    </w:p>
    <w:tbl>
      <w:tblPr>
        <w:tblStyle w:val="LightList-Accent11"/>
        <w:tblW w:w="0" w:type="auto"/>
        <w:jc w:val="center"/>
        <w:tblLayout w:type="fixed"/>
        <w:tblLook w:val="01E0" w:firstRow="1" w:lastRow="1" w:firstColumn="1" w:lastColumn="1" w:noHBand="0" w:noVBand="0"/>
      </w:tblPr>
      <w:tblGrid>
        <w:gridCol w:w="1620"/>
        <w:gridCol w:w="1620"/>
        <w:gridCol w:w="1400"/>
        <w:gridCol w:w="1149"/>
        <w:gridCol w:w="1461"/>
        <w:gridCol w:w="1611"/>
        <w:gridCol w:w="1186"/>
      </w:tblGrid>
      <w:tr w:rsidR="0065282B" w:rsidRPr="00420F28" w:rsidTr="00E269FE">
        <w:trPr>
          <w:cnfStyle w:val="100000000000" w:firstRow="1" w:lastRow="0" w:firstColumn="0" w:lastColumn="0" w:oddVBand="0" w:evenVBand="0" w:oddHBand="0"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282B" w:rsidRPr="006B2486" w:rsidRDefault="0065282B" w:rsidP="004A7312">
            <w:pPr>
              <w:pStyle w:val="NormalWeb"/>
              <w:spacing w:before="60" w:beforeAutospacing="0" w:after="60" w:afterAutospacing="0" w:line="240" w:lineRule="auto"/>
              <w:jc w:val="center"/>
              <w:rPr>
                <w:rFonts w:asciiTheme="minorHAnsi" w:hAnsiTheme="minorHAnsi" w:cs="Arial"/>
                <w:b w:val="0"/>
                <w:bCs w:val="0"/>
              </w:rPr>
            </w:pPr>
          </w:p>
        </w:tc>
        <w:tc>
          <w:tcPr>
            <w:cnfStyle w:val="000010000000" w:firstRow="0" w:lastRow="0" w:firstColumn="0" w:lastColumn="0" w:oddVBand="1" w:evenVBand="0" w:oddHBand="0" w:evenHBand="0" w:firstRowFirstColumn="0" w:firstRowLastColumn="0" w:lastRowFirstColumn="0" w:lastRowLastColumn="0"/>
            <w:tcW w:w="41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pStyle w:val="NormalWeb"/>
              <w:spacing w:before="60" w:beforeAutospacing="0" w:after="60" w:afterAutospacing="0" w:line="240" w:lineRule="auto"/>
              <w:jc w:val="center"/>
              <w:rPr>
                <w:rFonts w:asciiTheme="minorHAnsi" w:hAnsiTheme="minorHAnsi" w:cs="Arial"/>
                <w:b w:val="0"/>
                <w:bCs w:val="0"/>
              </w:rPr>
            </w:pPr>
            <w:r w:rsidRPr="006B2486">
              <w:rPr>
                <w:rFonts w:asciiTheme="minorHAnsi" w:hAnsiTheme="minorHAnsi" w:cs="Arial"/>
              </w:rPr>
              <w:t>2011</w:t>
            </w:r>
          </w:p>
        </w:tc>
        <w:tc>
          <w:tcPr>
            <w:cnfStyle w:val="000100000000" w:firstRow="0" w:lastRow="0" w:firstColumn="0" w:lastColumn="1" w:oddVBand="0" w:evenVBand="0" w:oddHBand="0" w:evenHBand="0" w:firstRowFirstColumn="0" w:firstRowLastColumn="0" w:lastRowFirstColumn="0" w:lastRowLastColumn="0"/>
            <w:tcW w:w="42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pStyle w:val="NormalWeb"/>
              <w:spacing w:before="60" w:beforeAutospacing="0" w:after="60" w:afterAutospacing="0" w:line="240" w:lineRule="auto"/>
              <w:jc w:val="center"/>
              <w:rPr>
                <w:rFonts w:asciiTheme="minorHAnsi" w:hAnsiTheme="minorHAnsi" w:cs="Arial"/>
                <w:bCs w:val="0"/>
              </w:rPr>
            </w:pPr>
            <w:r w:rsidRPr="006B2486">
              <w:rPr>
                <w:rFonts w:asciiTheme="minorHAnsi" w:hAnsiTheme="minorHAnsi" w:cs="Arial"/>
                <w:bCs w:val="0"/>
              </w:rPr>
              <w:t>2012</w:t>
            </w:r>
          </w:p>
        </w:tc>
      </w:tr>
      <w:tr w:rsidR="0065282B" w:rsidRPr="00420F28" w:rsidTr="003377C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282B" w:rsidRPr="006B2486" w:rsidRDefault="0065282B" w:rsidP="004A7312">
            <w:pPr>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rPr>
                <w:b/>
                <w:bCs/>
              </w:rPr>
            </w:pPr>
            <w:r w:rsidRPr="006B2486">
              <w:rPr>
                <w:b/>
                <w:bCs/>
              </w:rPr>
              <w:t>Total</w:t>
            </w:r>
          </w:p>
        </w:tc>
        <w:tc>
          <w:tcPr>
            <w:tcW w:w="1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cnfStyle w:val="000000100000" w:firstRow="0" w:lastRow="0" w:firstColumn="0" w:lastColumn="0" w:oddVBand="0" w:evenVBand="0" w:oddHBand="1" w:evenHBand="0" w:firstRowFirstColumn="0" w:firstRowLastColumn="0" w:lastRowFirstColumn="0" w:lastRowLastColumn="0"/>
              <w:rPr>
                <w:b/>
                <w:bCs/>
              </w:rPr>
            </w:pPr>
            <w:r w:rsidRPr="006B2486">
              <w:rPr>
                <w:b/>
                <w:bCs/>
              </w:rPr>
              <w:t>WMBE</w:t>
            </w:r>
          </w:p>
        </w:tc>
        <w:tc>
          <w:tcPr>
            <w:cnfStyle w:val="000010000000" w:firstRow="0" w:lastRow="0" w:firstColumn="0" w:lastColumn="0" w:oddVBand="1" w:evenVBand="0" w:oddHBand="0" w:evenHBand="0" w:firstRowFirstColumn="0" w:firstRowLastColumn="0" w:lastRowFirstColumn="0" w:lastRowLastColumn="0"/>
            <w:tcW w:w="1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rPr>
                <w:b/>
                <w:bCs/>
              </w:rPr>
            </w:pPr>
            <w:r w:rsidRPr="006B2486">
              <w:rPr>
                <w:b/>
                <w:bCs/>
              </w:rPr>
              <w:t>% of Total</w:t>
            </w:r>
          </w:p>
        </w:tc>
        <w:tc>
          <w:tcPr>
            <w:tcW w:w="14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cnfStyle w:val="000000100000" w:firstRow="0" w:lastRow="0" w:firstColumn="0" w:lastColumn="0" w:oddVBand="0" w:evenVBand="0" w:oddHBand="1" w:evenHBand="0" w:firstRowFirstColumn="0" w:firstRowLastColumn="0" w:lastRowFirstColumn="0" w:lastRowLastColumn="0"/>
              <w:rPr>
                <w:b/>
                <w:bCs/>
              </w:rPr>
            </w:pPr>
            <w:r w:rsidRPr="006B2486">
              <w:rPr>
                <w:b/>
                <w:bCs/>
              </w:rPr>
              <w:t>Total</w:t>
            </w:r>
          </w:p>
        </w:tc>
        <w:tc>
          <w:tcPr>
            <w:cnfStyle w:val="000010000000" w:firstRow="0" w:lastRow="0" w:firstColumn="0" w:lastColumn="0" w:oddVBand="1" w:evenVBand="0" w:oddHBand="0" w:evenHBand="0" w:firstRowFirstColumn="0" w:firstRowLastColumn="0" w:lastRowFirstColumn="0" w:lastRowLastColumn="0"/>
            <w:tcW w:w="1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rPr>
                <w:b/>
                <w:bCs/>
              </w:rPr>
            </w:pPr>
            <w:r w:rsidRPr="006B2486">
              <w:rPr>
                <w:b/>
                <w:bCs/>
              </w:rPr>
              <w:t>WMBE</w:t>
            </w:r>
          </w:p>
        </w:tc>
        <w:tc>
          <w:tcPr>
            <w:cnfStyle w:val="000100000000" w:firstRow="0" w:lastRow="0" w:firstColumn="0" w:lastColumn="1" w:oddVBand="0" w:evenVBand="0" w:oddHBand="0" w:evenHBand="0" w:firstRowFirstColumn="0" w:firstRowLastColumn="0" w:lastRowFirstColumn="0" w:lastRowLastColumn="0"/>
            <w:tcW w:w="11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4A7312">
            <w:pPr>
              <w:jc w:val="center"/>
            </w:pPr>
            <w:r w:rsidRPr="006B2486">
              <w:t>% of Total</w:t>
            </w:r>
          </w:p>
        </w:tc>
      </w:tr>
      <w:tr w:rsidR="0065282B" w:rsidRPr="00420F28" w:rsidTr="003377C1">
        <w:trPr>
          <w:trHeight w:val="288"/>
          <w:jc w:val="center"/>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282B" w:rsidRPr="0065282B" w:rsidRDefault="0065282B" w:rsidP="006B2486">
            <w:pPr>
              <w:jc w:val="center"/>
            </w:pPr>
            <w:r w:rsidRPr="0065282B">
              <w:t>Purchasing</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5282B" w:rsidRDefault="0065282B" w:rsidP="006B2486">
            <w:pPr>
              <w:spacing w:line="276" w:lineRule="auto"/>
              <w:jc w:val="center"/>
            </w:pPr>
            <w:r w:rsidRPr="0065282B">
              <w:t>$12,298,217</w:t>
            </w:r>
          </w:p>
        </w:tc>
        <w:tc>
          <w:tcPr>
            <w:tcW w:w="14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6B2486">
            <w:pPr>
              <w:spacing w:line="276" w:lineRule="auto"/>
              <w:jc w:val="center"/>
              <w:cnfStyle w:val="000000000000" w:firstRow="0" w:lastRow="0" w:firstColumn="0" w:lastColumn="0" w:oddVBand="0" w:evenVBand="0" w:oddHBand="0" w:evenHBand="0" w:firstRowFirstColumn="0" w:firstRowLastColumn="0" w:lastRowFirstColumn="0" w:lastRowLastColumn="0"/>
            </w:pPr>
            <w:r w:rsidRPr="006B2486">
              <w:t>$ 1,327,187</w:t>
            </w:r>
          </w:p>
        </w:tc>
        <w:tc>
          <w:tcPr>
            <w:cnfStyle w:val="000010000000" w:firstRow="0" w:lastRow="0" w:firstColumn="0" w:lastColumn="0" w:oddVBand="1" w:evenVBand="0" w:oddHBand="0" w:evenHBand="0" w:firstRowFirstColumn="0" w:firstRowLastColumn="0" w:lastRowFirstColumn="0" w:lastRowLastColumn="0"/>
            <w:tcW w:w="11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6B2486">
            <w:pPr>
              <w:spacing w:line="276" w:lineRule="auto"/>
              <w:jc w:val="center"/>
              <w:rPr>
                <w:b/>
              </w:rPr>
            </w:pPr>
            <w:r w:rsidRPr="006B2486">
              <w:t>11%</w:t>
            </w:r>
          </w:p>
        </w:tc>
        <w:tc>
          <w:tcPr>
            <w:tcW w:w="14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0539E4" w:rsidRDefault="0065282B" w:rsidP="000539E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s="Arial"/>
                <w:color w:val="000000"/>
              </w:rPr>
              <w:t xml:space="preserve">$14,319,076 </w:t>
            </w:r>
          </w:p>
        </w:tc>
        <w:tc>
          <w:tcPr>
            <w:cnfStyle w:val="000010000000" w:firstRow="0" w:lastRow="0" w:firstColumn="0" w:lastColumn="0" w:oddVBand="1" w:evenVBand="0" w:oddHBand="0" w:evenHBand="0" w:firstRowFirstColumn="0" w:firstRowLastColumn="0" w:lastRowFirstColumn="0" w:lastRowLastColumn="0"/>
            <w:tcW w:w="1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6B2486">
            <w:pPr>
              <w:spacing w:line="276" w:lineRule="auto"/>
              <w:jc w:val="center"/>
            </w:pPr>
            <w:r w:rsidRPr="006B2486">
              <w:t>$1,379,690</w:t>
            </w:r>
          </w:p>
        </w:tc>
        <w:tc>
          <w:tcPr>
            <w:cnfStyle w:val="000100000000" w:firstRow="0" w:lastRow="0" w:firstColumn="0" w:lastColumn="1" w:oddVBand="0" w:evenVBand="0" w:oddHBand="0" w:evenHBand="0" w:firstRowFirstColumn="0" w:firstRowLastColumn="0" w:lastRowFirstColumn="0" w:lastRowLastColumn="0"/>
            <w:tcW w:w="11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tcPr>
          <w:p w:rsidR="0065282B" w:rsidRPr="006B2486" w:rsidRDefault="0065282B" w:rsidP="006B2486">
            <w:pPr>
              <w:spacing w:line="276" w:lineRule="auto"/>
              <w:jc w:val="center"/>
            </w:pPr>
            <w:r>
              <w:t>9.6</w:t>
            </w:r>
            <w:r w:rsidRPr="006B2486">
              <w:t>%</w:t>
            </w:r>
          </w:p>
        </w:tc>
      </w:tr>
      <w:tr w:rsidR="0065282B" w:rsidRPr="00420F28" w:rsidTr="0071275E">
        <w:trPr>
          <w:cnfStyle w:val="010000000000" w:firstRow="0" w:lastRow="1"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004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5282B" w:rsidRPr="000539E4" w:rsidRDefault="0065282B" w:rsidP="000539E4">
            <w:pPr>
              <w:rPr>
                <w:i/>
                <w:sz w:val="18"/>
                <w:szCs w:val="18"/>
              </w:rPr>
            </w:pPr>
            <w:r w:rsidRPr="000539E4">
              <w:rPr>
                <w:i/>
                <w:sz w:val="18"/>
                <w:szCs w:val="18"/>
              </w:rPr>
              <w:t>Notes:</w:t>
            </w:r>
            <w:r w:rsidRPr="000539E4">
              <w:rPr>
                <w:b w:val="0"/>
                <w:i/>
                <w:sz w:val="18"/>
                <w:szCs w:val="18"/>
              </w:rPr>
              <w:t xml:space="preserve"> 2012 has been adjusted for Major Project spend</w:t>
            </w:r>
          </w:p>
        </w:tc>
      </w:tr>
    </w:tbl>
    <w:p w:rsidR="001E3379" w:rsidRDefault="00C67CAB" w:rsidP="0013411C">
      <w:pPr>
        <w:pStyle w:val="Heading3"/>
      </w:pPr>
      <w:r>
        <w:t>Purchasing</w:t>
      </w:r>
      <w:r w:rsidR="001E3379" w:rsidRPr="008348CD">
        <w:t xml:space="preserve"> </w:t>
      </w:r>
      <w:r>
        <w:t>Contract</w:t>
      </w:r>
      <w:r w:rsidR="0013411C">
        <w:t xml:space="preserve"> Strategies</w:t>
      </w:r>
      <w:r w:rsidR="0013411C" w:rsidRPr="008348CD">
        <w:t xml:space="preserve"> and Efforts in Outreach</w:t>
      </w:r>
    </w:p>
    <w:p w:rsidR="00DF3ED9" w:rsidRDefault="001E3379" w:rsidP="00DF3ED9">
      <w:pPr>
        <w:spacing w:after="0" w:line="240" w:lineRule="auto"/>
      </w:pPr>
      <w:r w:rsidRPr="00DF3ED9">
        <w:rPr>
          <w:b/>
        </w:rPr>
        <w:t xml:space="preserve"> </w:t>
      </w:r>
      <w:r w:rsidR="00974481" w:rsidRPr="008949CF">
        <w:t>While WMBE utilization on blanket contracts decreased between 2011 and 2012</w:t>
      </w:r>
      <w:r w:rsidR="00335578">
        <w:t>;</w:t>
      </w:r>
      <w:r w:rsidR="00974481" w:rsidRPr="008949CF">
        <w:t xml:space="preserve"> </w:t>
      </w:r>
      <w:r w:rsidR="00335578">
        <w:t xml:space="preserve">however, </w:t>
      </w:r>
      <w:r w:rsidR="00974481" w:rsidRPr="008949CF">
        <w:t xml:space="preserve">the total </w:t>
      </w:r>
      <w:r w:rsidR="00974481" w:rsidRPr="00335578">
        <w:rPr>
          <w:i/>
        </w:rPr>
        <w:t>amount</w:t>
      </w:r>
      <w:r w:rsidR="00974481" w:rsidRPr="008949CF">
        <w:t xml:space="preserve"> of money spent with WMBE firms through blanket contracts increased.</w:t>
      </w:r>
      <w:r w:rsidR="00974481" w:rsidRPr="005A7DAD">
        <w:rPr>
          <w:b/>
          <w:i/>
        </w:rPr>
        <w:t xml:space="preserve"> </w:t>
      </w:r>
      <w:r w:rsidR="00AF4F02">
        <w:t xml:space="preserve"> </w:t>
      </w:r>
      <w:r w:rsidR="00DF3ED9">
        <w:t> </w:t>
      </w:r>
      <w:r w:rsidR="00EE5B4B">
        <w:t xml:space="preserve">As noted, </w:t>
      </w:r>
      <w:r w:rsidR="00EE5B4B">
        <w:rPr>
          <w:b/>
          <w:i/>
        </w:rPr>
        <w:t>o</w:t>
      </w:r>
      <w:r w:rsidR="00DF3ED9" w:rsidRPr="005A7DAD">
        <w:rPr>
          <w:b/>
          <w:i/>
        </w:rPr>
        <w:t>ver $2.8 million was spent on technology supplies and support</w:t>
      </w:r>
      <w:r w:rsidR="0039746B">
        <w:rPr>
          <w:b/>
          <w:i/>
        </w:rPr>
        <w:t xml:space="preserve"> primarily for parking infrastructure</w:t>
      </w:r>
      <w:r w:rsidR="00DF3ED9" w:rsidRPr="005A7DAD">
        <w:rPr>
          <w:b/>
          <w:i/>
        </w:rPr>
        <w:t xml:space="preserve"> in 2012.  </w:t>
      </w:r>
      <w:r w:rsidR="00DF3ED9">
        <w:t>This is</w:t>
      </w:r>
      <w:r w:rsidR="0039746B">
        <w:t xml:space="preserve"> a</w:t>
      </w:r>
      <w:r w:rsidR="00DF3ED9">
        <w:t xml:space="preserve"> challenge to SDOT’s WMBE utilization. </w:t>
      </w:r>
      <w:r w:rsidR="00EE5C6E">
        <w:t xml:space="preserve"> </w:t>
      </w:r>
    </w:p>
    <w:p w:rsidR="00CC30E4" w:rsidRDefault="00CC30E4" w:rsidP="00EE5C6E">
      <w:pPr>
        <w:spacing w:after="0" w:line="240" w:lineRule="auto"/>
        <w:rPr>
          <w:b/>
          <w:i/>
        </w:rPr>
      </w:pPr>
    </w:p>
    <w:p w:rsidR="0070421F" w:rsidRDefault="00CC30E4" w:rsidP="0070421F">
      <w:pPr>
        <w:spacing w:after="0" w:line="240" w:lineRule="auto"/>
        <w:rPr>
          <w:b/>
          <w:i/>
        </w:rPr>
      </w:pPr>
      <w:r>
        <w:rPr>
          <w:b/>
          <w:i/>
        </w:rPr>
        <w:t>T</w:t>
      </w:r>
      <w:r w:rsidRPr="00CC30E4">
        <w:rPr>
          <w:b/>
          <w:i/>
        </w:rPr>
        <w:t>he SDOT WMBE repres</w:t>
      </w:r>
      <w:r>
        <w:rPr>
          <w:b/>
          <w:i/>
        </w:rPr>
        <w:t xml:space="preserve">entative will work closely with the SDOT Traffic </w:t>
      </w:r>
      <w:r w:rsidR="00CE1836">
        <w:rPr>
          <w:b/>
          <w:i/>
        </w:rPr>
        <w:t>Management</w:t>
      </w:r>
      <w:r w:rsidRPr="00CC30E4">
        <w:rPr>
          <w:b/>
          <w:i/>
        </w:rPr>
        <w:t xml:space="preserve"> to find opportunities</w:t>
      </w:r>
      <w:r w:rsidR="00CE1836">
        <w:rPr>
          <w:b/>
          <w:i/>
        </w:rPr>
        <w:t xml:space="preserve"> for WMBE s</w:t>
      </w:r>
      <w:r>
        <w:rPr>
          <w:b/>
          <w:i/>
        </w:rPr>
        <w:t>upp</w:t>
      </w:r>
      <w:r w:rsidR="0039746B">
        <w:rPr>
          <w:b/>
          <w:i/>
        </w:rPr>
        <w:t>liers</w:t>
      </w:r>
      <w:r>
        <w:rPr>
          <w:b/>
          <w:i/>
        </w:rPr>
        <w:t xml:space="preserve"> for </w:t>
      </w:r>
      <w:r w:rsidR="0065282B">
        <w:rPr>
          <w:b/>
          <w:i/>
        </w:rPr>
        <w:t xml:space="preserve">items </w:t>
      </w:r>
      <w:r>
        <w:rPr>
          <w:b/>
          <w:i/>
        </w:rPr>
        <w:t xml:space="preserve">that match their product needs. </w:t>
      </w:r>
      <w:r w:rsidR="00EE5C6E" w:rsidRPr="005A7DAD">
        <w:rPr>
          <w:b/>
          <w:i/>
        </w:rPr>
        <w:t xml:space="preserve">Moving forward we will encourage staff to consider and use WMBE vendors </w:t>
      </w:r>
      <w:r w:rsidR="00CE1836">
        <w:rPr>
          <w:b/>
          <w:i/>
        </w:rPr>
        <w:t xml:space="preserve">that have city blanket contracts. We will focus on encouraging WMBE vendors for purchasing </w:t>
      </w:r>
      <w:r w:rsidR="00EE5C6E" w:rsidRPr="005A7DAD">
        <w:rPr>
          <w:b/>
          <w:i/>
        </w:rPr>
        <w:t>office products and workspace projects, printing and reprographics, copying and printing, and safety supplies</w:t>
      </w:r>
      <w:r w:rsidR="000D751C">
        <w:rPr>
          <w:b/>
          <w:i/>
        </w:rPr>
        <w:t>.</w:t>
      </w:r>
    </w:p>
    <w:p w:rsidR="0070421F" w:rsidRDefault="0070421F" w:rsidP="0070421F">
      <w:pPr>
        <w:spacing w:after="0" w:line="240" w:lineRule="auto"/>
        <w:rPr>
          <w:b/>
          <w:i/>
        </w:rPr>
      </w:pPr>
    </w:p>
    <w:p w:rsidR="001E3379" w:rsidRDefault="0070421F" w:rsidP="0070421F">
      <w:pPr>
        <w:spacing w:after="0" w:line="240" w:lineRule="auto"/>
      </w:pPr>
      <w:r>
        <w:t>SDOT will work</w:t>
      </w:r>
      <w:r w:rsidR="001E3379" w:rsidRPr="005E3267">
        <w:t xml:space="preserve"> with FAS’s purchasing staff to identify Blanket Contract needs that will benefit </w:t>
      </w:r>
      <w:r w:rsidR="00CE1836">
        <w:t xml:space="preserve">SDOT </w:t>
      </w:r>
      <w:r w:rsidR="001E3379" w:rsidRPr="005E3267">
        <w:t>and identify</w:t>
      </w:r>
      <w:r w:rsidR="00E97A1D">
        <w:t xml:space="preserve"> WMBE</w:t>
      </w:r>
      <w:r w:rsidR="001E3379" w:rsidRPr="005E3267">
        <w:t xml:space="preserve"> vendors that may be potential bidders for these contracts. SDOT will continue to </w:t>
      </w:r>
      <w:r w:rsidR="00CE1836">
        <w:t>create</w:t>
      </w:r>
      <w:r w:rsidR="00E97A1D">
        <w:t xml:space="preserve"> relationships with WMBE</w:t>
      </w:r>
      <w:r w:rsidR="001E3379" w:rsidRPr="005E3267">
        <w:t xml:space="preserve"> vendors and use</w:t>
      </w:r>
      <w:r w:rsidR="00E97A1D">
        <w:t xml:space="preserve"> existing WMBE</w:t>
      </w:r>
      <w:r w:rsidR="001E3379" w:rsidRPr="005E3267">
        <w:t xml:space="preserve"> Blanket Contracts whenever possible. </w:t>
      </w:r>
      <w:r w:rsidR="0013411C">
        <w:t xml:space="preserve"> </w:t>
      </w:r>
      <w:r w:rsidR="001E3379" w:rsidRPr="005E3267">
        <w:t xml:space="preserve">SDOT continues to work with The </w:t>
      </w:r>
      <w:r w:rsidR="001E3379" w:rsidRPr="005E3267">
        <w:rPr>
          <w:bCs/>
        </w:rPr>
        <w:t>Washington State</w:t>
      </w:r>
      <w:r w:rsidR="001E3379" w:rsidRPr="005E3267">
        <w:t xml:space="preserve"> Procurement Technical Assistance Center (</w:t>
      </w:r>
      <w:r w:rsidR="001E3379" w:rsidRPr="005E3267">
        <w:rPr>
          <w:bCs/>
        </w:rPr>
        <w:t>PTAC</w:t>
      </w:r>
      <w:r w:rsidR="00E97A1D">
        <w:t>) to identify WMBE</w:t>
      </w:r>
      <w:r w:rsidR="001E3379" w:rsidRPr="005E3267">
        <w:t xml:space="preserve"> firms to bid on </w:t>
      </w:r>
      <w:r w:rsidR="001E106B">
        <w:t>SDOT contracts</w:t>
      </w:r>
      <w:r w:rsidR="001E3379" w:rsidRPr="005E3267">
        <w:t>.</w:t>
      </w:r>
    </w:p>
    <w:p w:rsidR="00BB2FED" w:rsidRDefault="00BB2FED" w:rsidP="0070421F">
      <w:pPr>
        <w:spacing w:after="0" w:line="240" w:lineRule="auto"/>
      </w:pPr>
    </w:p>
    <w:p w:rsidR="00BB2FED" w:rsidRPr="00E269FE" w:rsidRDefault="00BB2FED" w:rsidP="0070421F">
      <w:pPr>
        <w:spacing w:after="0" w:line="240" w:lineRule="auto"/>
        <w:rPr>
          <w:b/>
          <w:i/>
          <w:u w:val="single"/>
        </w:rPr>
      </w:pPr>
      <w:r w:rsidRPr="00E269FE">
        <w:rPr>
          <w:b/>
          <w:i/>
          <w:highlight w:val="cyan"/>
          <w:u w:val="single"/>
        </w:rPr>
        <w:t xml:space="preserve">In 2012, SDOT spent $5.2 million on Streetcar and rail purchases for the First Hill Streetcar mega project.  These expenditures were removed from SDOT’s total purchasing expenditures in 2012. In 2013, SDOT expects to </w:t>
      </w:r>
      <w:r w:rsidR="00BC6349" w:rsidRPr="00E269FE">
        <w:rPr>
          <w:b/>
          <w:i/>
          <w:highlight w:val="cyan"/>
          <w:u w:val="single"/>
        </w:rPr>
        <w:t>spend</w:t>
      </w:r>
      <w:r w:rsidRPr="00E269FE">
        <w:rPr>
          <w:b/>
          <w:i/>
          <w:highlight w:val="cyan"/>
          <w:u w:val="single"/>
        </w:rPr>
        <w:t xml:space="preserve"> $15 million on similar streetcar purchases and again these funds will have to be removed from the calculations for SDOT’s total WMBE utilization. </w:t>
      </w:r>
      <w:r w:rsidR="00411CC8" w:rsidRPr="00E269FE">
        <w:rPr>
          <w:b/>
          <w:i/>
          <w:highlight w:val="cyan"/>
          <w:u w:val="single"/>
        </w:rPr>
        <w:t xml:space="preserve">There are no WMBE vendors with the capacity to provide these </w:t>
      </w:r>
      <w:r w:rsidR="00411CC8" w:rsidRPr="00E269FE">
        <w:rPr>
          <w:b/>
          <w:i/>
          <w:highlight w:val="cyan"/>
          <w:u w:val="single"/>
        </w:rPr>
        <w:lastRenderedPageBreak/>
        <w:t xml:space="preserve">services. </w:t>
      </w:r>
      <w:r w:rsidR="00411CC8" w:rsidRPr="00E269FE">
        <w:rPr>
          <w:rFonts w:cs="Arial"/>
          <w:highlight w:val="cyan"/>
        </w:rPr>
        <w:t>This adjustment will allow SDOT to illustrate the department’s true performance based on real WMBE opportunities.</w:t>
      </w:r>
      <w:r w:rsidR="00411CC8" w:rsidRPr="00E269FE">
        <w:rPr>
          <w:rFonts w:cs="Arial"/>
        </w:rPr>
        <w:t xml:space="preserve"> </w:t>
      </w:r>
    </w:p>
    <w:p w:rsidR="00CD1F3F" w:rsidRPr="0013411C" w:rsidRDefault="00116051" w:rsidP="0013411C">
      <w:pPr>
        <w:pStyle w:val="Heading2"/>
        <w:rPr>
          <w:szCs w:val="22"/>
        </w:rPr>
      </w:pPr>
      <w:r w:rsidRPr="0013411C">
        <w:rPr>
          <w:szCs w:val="28"/>
        </w:rPr>
        <w:t>Consultant Services</w:t>
      </w:r>
    </w:p>
    <w:p w:rsidR="00CD1F3F" w:rsidRDefault="00CD1F3F" w:rsidP="005E3267">
      <w:r w:rsidRPr="005E3267">
        <w:t>SDOT utilizes consultants to assist in completing numerous projects and programs.  Consultant services ar</w:t>
      </w:r>
      <w:r w:rsidR="00F0733E" w:rsidRPr="005E3267">
        <w:t>e procured</w:t>
      </w:r>
      <w:r w:rsidR="006626F3" w:rsidRPr="005E3267">
        <w:t xml:space="preserve"> through </w:t>
      </w:r>
      <w:r w:rsidR="00F0733E" w:rsidRPr="005E3267">
        <w:t>Full Solicitation and Consultant Roster</w:t>
      </w:r>
      <w:r w:rsidRPr="005E3267">
        <w:t>.  This section summarizes the progress</w:t>
      </w:r>
      <w:r w:rsidR="005E3267" w:rsidRPr="005E3267">
        <w:t xml:space="preserve"> made in 2012</w:t>
      </w:r>
      <w:r w:rsidRPr="005E3267">
        <w:t xml:space="preserve"> and makes recommendations for 201</w:t>
      </w:r>
      <w:r w:rsidR="005E3267" w:rsidRPr="005E3267">
        <w:t>3</w:t>
      </w:r>
      <w:r w:rsidRPr="005E3267">
        <w:t>.</w:t>
      </w:r>
      <w:r w:rsidR="00206262">
        <w:t xml:space="preserve"> </w:t>
      </w:r>
    </w:p>
    <w:p w:rsidR="00283599" w:rsidRPr="00FB4CFC" w:rsidRDefault="00283599" w:rsidP="00283599">
      <w:pPr>
        <w:jc w:val="center"/>
      </w:pPr>
      <w:r>
        <w:rPr>
          <w:b/>
        </w:rPr>
        <w:t xml:space="preserve">Table 5 </w:t>
      </w:r>
      <w:r w:rsidRPr="00C45A53">
        <w:rPr>
          <w:b/>
          <w:color w:val="000000" w:themeColor="text1"/>
        </w:rPr>
        <w:t>–</w:t>
      </w:r>
      <w:r>
        <w:rPr>
          <w:b/>
          <w:color w:val="000000" w:themeColor="text1"/>
        </w:rPr>
        <w:t xml:space="preserve"> </w:t>
      </w:r>
      <w:r>
        <w:rPr>
          <w:b/>
        </w:rPr>
        <w:t>Consulting Performance History</w:t>
      </w:r>
    </w:p>
    <w:tbl>
      <w:tblPr>
        <w:tblW w:w="0" w:type="auto"/>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743"/>
        <w:gridCol w:w="1455"/>
        <w:gridCol w:w="1119"/>
        <w:gridCol w:w="1142"/>
        <w:gridCol w:w="1491"/>
        <w:gridCol w:w="1262"/>
        <w:gridCol w:w="2084"/>
      </w:tblGrid>
      <w:tr w:rsidR="0013411C" w:rsidRPr="00911B48" w:rsidTr="00E269FE">
        <w:trPr>
          <w:cantSplit/>
          <w:trHeight w:hRule="exact" w:val="288"/>
        </w:trPr>
        <w:tc>
          <w:tcPr>
            <w:tcW w:w="0" w:type="auto"/>
            <w:shd w:val="clear" w:color="auto" w:fill="4F81BD" w:themeFill="accent1"/>
          </w:tcPr>
          <w:p w:rsidR="008A5BDA" w:rsidRPr="00E269FE" w:rsidRDefault="008A5BDA" w:rsidP="004A7312">
            <w:pPr>
              <w:pStyle w:val="NormalWeb"/>
              <w:spacing w:before="60" w:beforeAutospacing="0" w:after="60" w:afterAutospacing="0" w:line="240" w:lineRule="auto"/>
              <w:jc w:val="center"/>
              <w:rPr>
                <w:rFonts w:ascii="Arial" w:hAnsi="Arial" w:cs="Arial"/>
                <w:b/>
                <w:bCs/>
                <w:color w:val="FFFFFF" w:themeColor="background1"/>
              </w:rPr>
            </w:pPr>
          </w:p>
        </w:tc>
        <w:tc>
          <w:tcPr>
            <w:tcW w:w="0" w:type="auto"/>
            <w:gridSpan w:val="3"/>
            <w:shd w:val="clear" w:color="auto" w:fill="4F81BD" w:themeFill="accent1"/>
            <w:vAlign w:val="bottom"/>
          </w:tcPr>
          <w:p w:rsidR="008A5BDA" w:rsidRPr="00E269FE" w:rsidRDefault="008A5BDA" w:rsidP="0065282B">
            <w:pPr>
              <w:pStyle w:val="NormalWeb"/>
              <w:spacing w:before="60" w:beforeAutospacing="0" w:after="60" w:afterAutospacing="0" w:line="240" w:lineRule="auto"/>
              <w:jc w:val="center"/>
              <w:rPr>
                <w:b/>
                <w:color w:val="FFFFFF" w:themeColor="background1"/>
              </w:rPr>
            </w:pPr>
            <w:r w:rsidRPr="00E269FE">
              <w:rPr>
                <w:rFonts w:ascii="Arial" w:hAnsi="Arial" w:cs="Arial"/>
                <w:b/>
                <w:bCs/>
                <w:color w:val="FFFFFF" w:themeColor="background1"/>
              </w:rPr>
              <w:t>2011</w:t>
            </w:r>
          </w:p>
        </w:tc>
        <w:tc>
          <w:tcPr>
            <w:tcW w:w="4784" w:type="dxa"/>
            <w:gridSpan w:val="3"/>
            <w:shd w:val="clear" w:color="auto" w:fill="4F81BD" w:themeFill="accent1"/>
            <w:vAlign w:val="bottom"/>
          </w:tcPr>
          <w:p w:rsidR="008A5BDA" w:rsidRPr="00E269FE" w:rsidRDefault="008A5BDA" w:rsidP="0065282B">
            <w:pPr>
              <w:pStyle w:val="NormalWeb"/>
              <w:spacing w:before="60" w:beforeAutospacing="0" w:after="60" w:afterAutospacing="0" w:line="240" w:lineRule="auto"/>
              <w:jc w:val="center"/>
              <w:rPr>
                <w:b/>
                <w:color w:val="FFFFFF" w:themeColor="background1"/>
              </w:rPr>
            </w:pPr>
            <w:r w:rsidRPr="00E269FE">
              <w:rPr>
                <w:rFonts w:ascii="Arial" w:hAnsi="Arial" w:cs="Arial"/>
                <w:b/>
                <w:bCs/>
                <w:color w:val="FFFFFF" w:themeColor="background1"/>
              </w:rPr>
              <w:t>2012</w:t>
            </w:r>
          </w:p>
        </w:tc>
      </w:tr>
      <w:tr w:rsidR="0013411C" w:rsidRPr="00911B48" w:rsidTr="00EA289A">
        <w:trPr>
          <w:cantSplit/>
          <w:trHeight w:val="360"/>
        </w:trPr>
        <w:tc>
          <w:tcPr>
            <w:tcW w:w="0" w:type="auto"/>
            <w:shd w:val="clear" w:color="auto" w:fill="auto"/>
          </w:tcPr>
          <w:p w:rsidR="008A5BDA" w:rsidRPr="008A5BDA" w:rsidRDefault="008A5BDA" w:rsidP="004A7312">
            <w:pPr>
              <w:spacing w:line="240" w:lineRule="auto"/>
            </w:pPr>
          </w:p>
        </w:tc>
        <w:tc>
          <w:tcPr>
            <w:tcW w:w="0" w:type="auto"/>
            <w:shd w:val="clear" w:color="auto" w:fill="auto"/>
            <w:vAlign w:val="bottom"/>
          </w:tcPr>
          <w:p w:rsidR="008A5BDA" w:rsidRPr="0013411C" w:rsidRDefault="008A5BDA" w:rsidP="0065282B">
            <w:pPr>
              <w:spacing w:after="0" w:line="240" w:lineRule="auto"/>
              <w:jc w:val="center"/>
              <w:rPr>
                <w:b/>
                <w:bCs/>
              </w:rPr>
            </w:pPr>
            <w:r w:rsidRPr="0013411C">
              <w:rPr>
                <w:b/>
                <w:bCs/>
              </w:rPr>
              <w:t>Total</w:t>
            </w:r>
          </w:p>
        </w:tc>
        <w:tc>
          <w:tcPr>
            <w:tcW w:w="0" w:type="auto"/>
            <w:shd w:val="clear" w:color="auto" w:fill="auto"/>
            <w:vAlign w:val="bottom"/>
          </w:tcPr>
          <w:p w:rsidR="008A5BDA" w:rsidRPr="0013411C" w:rsidRDefault="008A5BDA" w:rsidP="0065282B">
            <w:pPr>
              <w:spacing w:after="0" w:line="240" w:lineRule="auto"/>
              <w:jc w:val="center"/>
              <w:rPr>
                <w:b/>
                <w:bCs/>
              </w:rPr>
            </w:pPr>
            <w:r w:rsidRPr="0013411C">
              <w:rPr>
                <w:b/>
                <w:bCs/>
              </w:rPr>
              <w:t>WMBE</w:t>
            </w:r>
          </w:p>
        </w:tc>
        <w:tc>
          <w:tcPr>
            <w:tcW w:w="0" w:type="auto"/>
            <w:shd w:val="clear" w:color="auto" w:fill="auto"/>
            <w:vAlign w:val="bottom"/>
          </w:tcPr>
          <w:p w:rsidR="008A5BDA" w:rsidRPr="0013411C" w:rsidRDefault="008A5BDA" w:rsidP="0065282B">
            <w:pPr>
              <w:spacing w:after="0" w:line="240" w:lineRule="auto"/>
              <w:jc w:val="center"/>
              <w:rPr>
                <w:b/>
                <w:bCs/>
              </w:rPr>
            </w:pPr>
            <w:r w:rsidRPr="0013411C">
              <w:rPr>
                <w:b/>
                <w:bCs/>
              </w:rPr>
              <w:t>% of Total</w:t>
            </w:r>
          </w:p>
        </w:tc>
        <w:tc>
          <w:tcPr>
            <w:tcW w:w="0" w:type="auto"/>
            <w:shd w:val="clear" w:color="auto" w:fill="auto"/>
            <w:vAlign w:val="bottom"/>
          </w:tcPr>
          <w:p w:rsidR="008A5BDA" w:rsidRPr="0013411C" w:rsidRDefault="008A5BDA" w:rsidP="0065282B">
            <w:pPr>
              <w:spacing w:after="0" w:line="240" w:lineRule="auto"/>
              <w:jc w:val="center"/>
              <w:rPr>
                <w:b/>
                <w:bCs/>
              </w:rPr>
            </w:pPr>
            <w:r w:rsidRPr="0013411C">
              <w:rPr>
                <w:b/>
                <w:bCs/>
              </w:rPr>
              <w:t>Total</w:t>
            </w:r>
          </w:p>
        </w:tc>
        <w:tc>
          <w:tcPr>
            <w:tcW w:w="0" w:type="auto"/>
            <w:shd w:val="clear" w:color="auto" w:fill="auto"/>
            <w:vAlign w:val="bottom"/>
          </w:tcPr>
          <w:p w:rsidR="008A5BDA" w:rsidRPr="0013411C" w:rsidRDefault="00E97A1D" w:rsidP="0065282B">
            <w:pPr>
              <w:spacing w:after="0" w:line="240" w:lineRule="auto"/>
              <w:jc w:val="center"/>
              <w:rPr>
                <w:b/>
                <w:bCs/>
              </w:rPr>
            </w:pPr>
            <w:r w:rsidRPr="0013411C">
              <w:rPr>
                <w:b/>
                <w:bCs/>
              </w:rPr>
              <w:t>WMBE</w:t>
            </w:r>
          </w:p>
        </w:tc>
        <w:tc>
          <w:tcPr>
            <w:tcW w:w="2011" w:type="dxa"/>
            <w:shd w:val="clear" w:color="auto" w:fill="auto"/>
            <w:vAlign w:val="bottom"/>
          </w:tcPr>
          <w:p w:rsidR="008A5BDA" w:rsidRPr="0013411C" w:rsidRDefault="008A5BDA" w:rsidP="0065282B">
            <w:pPr>
              <w:spacing w:after="0" w:line="240" w:lineRule="auto"/>
              <w:jc w:val="center"/>
              <w:rPr>
                <w:b/>
                <w:bCs/>
              </w:rPr>
            </w:pPr>
            <w:r w:rsidRPr="0013411C">
              <w:rPr>
                <w:b/>
                <w:bCs/>
              </w:rPr>
              <w:t>% of Total</w:t>
            </w:r>
          </w:p>
        </w:tc>
      </w:tr>
      <w:tr w:rsidR="0013411C" w:rsidRPr="00911B48" w:rsidTr="00EA289A">
        <w:trPr>
          <w:cantSplit/>
          <w:trHeight w:val="360"/>
        </w:trPr>
        <w:tc>
          <w:tcPr>
            <w:tcW w:w="0" w:type="auto"/>
            <w:vAlign w:val="center"/>
          </w:tcPr>
          <w:p w:rsidR="00BA728D" w:rsidRPr="002D7203" w:rsidRDefault="00BA728D" w:rsidP="002D7203">
            <w:pPr>
              <w:spacing w:line="240" w:lineRule="auto"/>
              <w:jc w:val="center"/>
              <w:rPr>
                <w:b/>
              </w:rPr>
            </w:pPr>
            <w:r w:rsidRPr="002D7203">
              <w:rPr>
                <w:b/>
              </w:rPr>
              <w:t>Consultant Total</w:t>
            </w:r>
          </w:p>
        </w:tc>
        <w:tc>
          <w:tcPr>
            <w:tcW w:w="0" w:type="auto"/>
            <w:vAlign w:val="center"/>
          </w:tcPr>
          <w:p w:rsidR="00BA728D" w:rsidRPr="008A5BDA" w:rsidRDefault="00CB50F1" w:rsidP="0065282B">
            <w:pPr>
              <w:spacing w:line="240" w:lineRule="auto"/>
              <w:jc w:val="center"/>
            </w:pPr>
            <w:r>
              <w:t>*</w:t>
            </w:r>
            <w:r w:rsidR="00BA728D" w:rsidRPr="008A5BDA">
              <w:t>$</w:t>
            </w:r>
            <w:r w:rsidR="002D7203">
              <w:t>23,729,420</w:t>
            </w:r>
          </w:p>
        </w:tc>
        <w:tc>
          <w:tcPr>
            <w:tcW w:w="0" w:type="auto"/>
            <w:vAlign w:val="center"/>
          </w:tcPr>
          <w:p w:rsidR="00BA728D" w:rsidRPr="008A5BDA" w:rsidRDefault="002D7203" w:rsidP="0065282B">
            <w:pPr>
              <w:spacing w:line="240" w:lineRule="auto"/>
              <w:jc w:val="center"/>
            </w:pPr>
            <w:r>
              <w:t>3,035,633</w:t>
            </w:r>
          </w:p>
        </w:tc>
        <w:tc>
          <w:tcPr>
            <w:tcW w:w="0" w:type="auto"/>
            <w:vAlign w:val="center"/>
          </w:tcPr>
          <w:p w:rsidR="00BA728D" w:rsidRPr="002D7203" w:rsidRDefault="002D7203" w:rsidP="0065282B">
            <w:pPr>
              <w:spacing w:line="240" w:lineRule="auto"/>
              <w:jc w:val="center"/>
              <w:rPr>
                <w:b/>
              </w:rPr>
            </w:pPr>
            <w:r w:rsidRPr="002D7203">
              <w:rPr>
                <w:b/>
              </w:rPr>
              <w:t>13%</w:t>
            </w:r>
          </w:p>
        </w:tc>
        <w:tc>
          <w:tcPr>
            <w:tcW w:w="0" w:type="auto"/>
            <w:vAlign w:val="center"/>
          </w:tcPr>
          <w:p w:rsidR="00BA728D" w:rsidRPr="008A5BDA" w:rsidRDefault="00CB50F1" w:rsidP="0065282B">
            <w:pPr>
              <w:spacing w:line="240" w:lineRule="auto"/>
              <w:jc w:val="center"/>
            </w:pPr>
            <w:r>
              <w:t>*</w:t>
            </w:r>
            <w:r w:rsidR="002D7203">
              <w:t>$18,937,617</w:t>
            </w:r>
          </w:p>
        </w:tc>
        <w:tc>
          <w:tcPr>
            <w:tcW w:w="0" w:type="auto"/>
            <w:vAlign w:val="center"/>
          </w:tcPr>
          <w:p w:rsidR="00BA728D" w:rsidRPr="008A5BDA" w:rsidRDefault="00BA728D" w:rsidP="0065282B">
            <w:pPr>
              <w:spacing w:line="240" w:lineRule="auto"/>
              <w:jc w:val="center"/>
            </w:pPr>
            <w:r w:rsidRPr="008A5BDA">
              <w:t>$</w:t>
            </w:r>
            <w:r w:rsidR="002D7203">
              <w:t>3,250,664</w:t>
            </w:r>
          </w:p>
        </w:tc>
        <w:tc>
          <w:tcPr>
            <w:tcW w:w="2011" w:type="dxa"/>
            <w:vAlign w:val="center"/>
          </w:tcPr>
          <w:p w:rsidR="00BA728D" w:rsidRPr="002D7203" w:rsidRDefault="002D7203" w:rsidP="0065282B">
            <w:pPr>
              <w:spacing w:line="240" w:lineRule="auto"/>
              <w:jc w:val="center"/>
              <w:rPr>
                <w:b/>
              </w:rPr>
            </w:pPr>
            <w:r w:rsidRPr="002D7203">
              <w:rPr>
                <w:b/>
              </w:rPr>
              <w:t>17</w:t>
            </w:r>
            <w:r w:rsidR="00BA728D" w:rsidRPr="002D7203">
              <w:rPr>
                <w:b/>
              </w:rPr>
              <w:t>%</w:t>
            </w:r>
          </w:p>
        </w:tc>
      </w:tr>
      <w:tr w:rsidR="0065282B" w:rsidRPr="00911B48" w:rsidTr="0065282B">
        <w:trPr>
          <w:cantSplit/>
          <w:trHeight w:hRule="exact" w:val="288"/>
        </w:trPr>
        <w:tc>
          <w:tcPr>
            <w:tcW w:w="10296" w:type="dxa"/>
            <w:gridSpan w:val="7"/>
            <w:vAlign w:val="center"/>
          </w:tcPr>
          <w:p w:rsidR="0065282B" w:rsidRPr="0065282B" w:rsidRDefault="0065282B" w:rsidP="0000258D">
            <w:pPr>
              <w:spacing w:line="240" w:lineRule="auto"/>
              <w:rPr>
                <w:b/>
                <w:i/>
                <w:sz w:val="18"/>
                <w:szCs w:val="18"/>
              </w:rPr>
            </w:pPr>
            <w:r w:rsidRPr="0065282B">
              <w:rPr>
                <w:b/>
                <w:i/>
                <w:sz w:val="18"/>
                <w:szCs w:val="18"/>
              </w:rPr>
              <w:t xml:space="preserve">Notes: </w:t>
            </w:r>
            <w:r>
              <w:rPr>
                <w:b/>
                <w:i/>
                <w:sz w:val="18"/>
                <w:szCs w:val="18"/>
              </w:rPr>
              <w:t xml:space="preserve">* </w:t>
            </w:r>
            <w:r w:rsidRPr="0065282B">
              <w:rPr>
                <w:i/>
                <w:sz w:val="18"/>
                <w:szCs w:val="18"/>
              </w:rPr>
              <w:t>Less (4) M</w:t>
            </w:r>
            <w:r w:rsidR="0000258D">
              <w:rPr>
                <w:i/>
                <w:sz w:val="18"/>
                <w:szCs w:val="18"/>
              </w:rPr>
              <w:t>ega</w:t>
            </w:r>
            <w:r w:rsidRPr="0065282B">
              <w:rPr>
                <w:i/>
                <w:sz w:val="18"/>
                <w:szCs w:val="18"/>
              </w:rPr>
              <w:t xml:space="preserve"> Projects expenditures</w:t>
            </w:r>
          </w:p>
        </w:tc>
      </w:tr>
    </w:tbl>
    <w:p w:rsidR="00A774BA" w:rsidRPr="00A774BA" w:rsidRDefault="00A774BA" w:rsidP="0013411C">
      <w:pPr>
        <w:pStyle w:val="Heading3"/>
      </w:pPr>
      <w:r w:rsidRPr="00A774BA">
        <w:t xml:space="preserve">Consultant </w:t>
      </w:r>
      <w:r w:rsidR="0013411C" w:rsidRPr="00A774BA">
        <w:t>Contracts</w:t>
      </w:r>
      <w:r w:rsidR="0013411C" w:rsidRPr="0013411C">
        <w:t xml:space="preserve"> </w:t>
      </w:r>
      <w:r w:rsidR="0013411C">
        <w:t>Strategies</w:t>
      </w:r>
      <w:r w:rsidR="0013411C" w:rsidRPr="008348CD">
        <w:t xml:space="preserve"> and Efforts in Outreach</w:t>
      </w:r>
    </w:p>
    <w:p w:rsidR="005622A9" w:rsidRDefault="00B6542F" w:rsidP="00A774BA">
      <w:pPr>
        <w:rPr>
          <w:b/>
          <w:i/>
        </w:rPr>
      </w:pPr>
      <w:r w:rsidRPr="00E828AC">
        <w:rPr>
          <w:b/>
          <w:i/>
        </w:rPr>
        <w:t xml:space="preserve">SDOT will focus on several </w:t>
      </w:r>
      <w:r w:rsidR="00E828AC" w:rsidRPr="00E828AC">
        <w:rPr>
          <w:b/>
          <w:i/>
        </w:rPr>
        <w:t xml:space="preserve">“On-Call Contracts” to </w:t>
      </w:r>
      <w:r w:rsidR="00253527">
        <w:rPr>
          <w:b/>
          <w:i/>
        </w:rPr>
        <w:t>increase</w:t>
      </w:r>
      <w:r w:rsidR="00E828AC" w:rsidRPr="00E828AC">
        <w:rPr>
          <w:b/>
          <w:i/>
        </w:rPr>
        <w:t xml:space="preserve"> </w:t>
      </w:r>
      <w:r w:rsidRPr="00E828AC">
        <w:rPr>
          <w:b/>
          <w:i/>
        </w:rPr>
        <w:t>WMBE participation</w:t>
      </w:r>
      <w:r w:rsidR="00E828AC" w:rsidRPr="00E828AC">
        <w:rPr>
          <w:b/>
          <w:i/>
        </w:rPr>
        <w:t xml:space="preserve"> in 2013</w:t>
      </w:r>
      <w:r>
        <w:t xml:space="preserve">.  They will be in the areas of Construction Management and Engineering Support Services. </w:t>
      </w:r>
      <w:r w:rsidR="00E828AC">
        <w:t xml:space="preserve"> SDOT contracting staff, project m</w:t>
      </w:r>
      <w:r>
        <w:t>an</w:t>
      </w:r>
      <w:r w:rsidR="00E828AC">
        <w:t>a</w:t>
      </w:r>
      <w:r>
        <w:t xml:space="preserve">gers </w:t>
      </w:r>
      <w:r w:rsidR="00E828AC">
        <w:t xml:space="preserve">and WMBE </w:t>
      </w:r>
      <w:r w:rsidR="00B51FC8">
        <w:t>representative</w:t>
      </w:r>
      <w:r w:rsidR="00E828AC">
        <w:t xml:space="preserve"> have engaged multiple WMBE firms who have bid and successfully won contracts for 2013.</w:t>
      </w:r>
      <w:r w:rsidR="005622A9">
        <w:t xml:space="preserve"> In addition, SDOT has identified several smaller consultant contracts that will add to the departments overall WMBE participation in 2013.  </w:t>
      </w:r>
      <w:r w:rsidR="00E828AC">
        <w:t>SDOT will continue to look for opportunities for Small Consultant Roster opportunities for WMBE firms</w:t>
      </w:r>
      <w:r w:rsidR="00B51FC8" w:rsidRPr="005622A9">
        <w:rPr>
          <w:b/>
          <w:i/>
        </w:rPr>
        <w:t xml:space="preserve">.  </w:t>
      </w:r>
    </w:p>
    <w:p w:rsidR="00E828AC" w:rsidRPr="00586918" w:rsidRDefault="00586918" w:rsidP="00A774BA">
      <w:r w:rsidRPr="00586918">
        <w:t>Of note, city p</w:t>
      </w:r>
      <w:r w:rsidR="00B51FC8" w:rsidRPr="00586918">
        <w:t>ersonnel has allocate</w:t>
      </w:r>
      <w:r w:rsidR="005622A9" w:rsidRPr="00586918">
        <w:t>d</w:t>
      </w:r>
      <w:r w:rsidR="00B51FC8" w:rsidRPr="00586918">
        <w:t xml:space="preserve"> 25</w:t>
      </w:r>
      <w:r w:rsidR="005622A9" w:rsidRPr="00586918">
        <w:t xml:space="preserve"> FTEs</w:t>
      </w:r>
      <w:r w:rsidR="00B51FC8" w:rsidRPr="00586918">
        <w:t xml:space="preserve"> </w:t>
      </w:r>
      <w:r w:rsidR="005622A9" w:rsidRPr="00586918">
        <w:t xml:space="preserve">(positions) </w:t>
      </w:r>
      <w:r w:rsidR="00B51FC8" w:rsidRPr="00586918">
        <w:t>that city department</w:t>
      </w:r>
      <w:r w:rsidR="005622A9" w:rsidRPr="00586918">
        <w:t>s</w:t>
      </w:r>
      <w:r w:rsidR="00B51FC8" w:rsidRPr="00586918">
        <w:t xml:space="preserve"> may use to backfill specific workforce need</w:t>
      </w:r>
      <w:r w:rsidR="005622A9" w:rsidRPr="00586918">
        <w:t>s</w:t>
      </w:r>
      <w:r w:rsidR="00B51FC8" w:rsidRPr="00586918">
        <w:t xml:space="preserve"> in area</w:t>
      </w:r>
      <w:r w:rsidR="005622A9" w:rsidRPr="00586918">
        <w:t>s</w:t>
      </w:r>
      <w:r w:rsidR="00B51FC8" w:rsidRPr="00586918">
        <w:t xml:space="preserve"> related to SDOT’s consulting c</w:t>
      </w:r>
      <w:r w:rsidR="005622A9" w:rsidRPr="00586918">
        <w:t>ontracting in 2013.</w:t>
      </w:r>
      <w:r w:rsidR="00A452AE">
        <w:t xml:space="preserve"> SDOT has secured (4) of these positions</w:t>
      </w:r>
      <w:r w:rsidR="00253527">
        <w:t xml:space="preserve"> which will take</w:t>
      </w:r>
      <w:r w:rsidR="00A452AE">
        <w:t xml:space="preserve"> away the</w:t>
      </w:r>
      <w:r w:rsidR="005622A9" w:rsidRPr="00586918">
        <w:t xml:space="preserve"> potential</w:t>
      </w:r>
      <w:r w:rsidR="00A452AE">
        <w:t xml:space="preserve"> for some</w:t>
      </w:r>
      <w:r w:rsidR="005622A9" w:rsidRPr="00586918">
        <w:t xml:space="preserve"> sma</w:t>
      </w:r>
      <w:r w:rsidR="00A452AE">
        <w:t>ll WMBE consultant contracts</w:t>
      </w:r>
      <w:r w:rsidR="005622A9" w:rsidRPr="00586918">
        <w:t>.</w:t>
      </w:r>
    </w:p>
    <w:p w:rsidR="00A54A04" w:rsidRDefault="00A54A04" w:rsidP="005B7BAB">
      <w:pPr>
        <w:pStyle w:val="Heading2"/>
      </w:pPr>
      <w:r w:rsidRPr="00A54A04">
        <w:t>Mega Projects</w:t>
      </w:r>
    </w:p>
    <w:p w:rsidR="005B7BAB" w:rsidRPr="00A452AE" w:rsidRDefault="00B51FC8" w:rsidP="00307403">
      <w:pPr>
        <w:spacing w:after="0"/>
        <w:rPr>
          <w:rFonts w:eastAsiaTheme="majorEastAsia"/>
          <w:b/>
          <w:i/>
        </w:rPr>
      </w:pPr>
      <w:r w:rsidRPr="00A452AE">
        <w:rPr>
          <w:rFonts w:eastAsiaTheme="majorEastAsia"/>
          <w:b/>
          <w:i/>
        </w:rPr>
        <w:t>In 2011</w:t>
      </w:r>
      <w:r w:rsidR="005B7BAB" w:rsidRPr="00A452AE">
        <w:rPr>
          <w:rFonts w:eastAsiaTheme="majorEastAsia"/>
          <w:b/>
          <w:i/>
        </w:rPr>
        <w:t>, SDOT began tracking WMBE participation for the four Mega Projects separately</w:t>
      </w:r>
      <w:r w:rsidR="005B7BAB" w:rsidRPr="00184193">
        <w:rPr>
          <w:rFonts w:eastAsiaTheme="majorEastAsia"/>
        </w:rPr>
        <w:t>.</w:t>
      </w:r>
      <w:r w:rsidR="005B7BAB">
        <w:rPr>
          <w:rFonts w:eastAsiaTheme="majorEastAsia"/>
        </w:rPr>
        <w:t xml:space="preserve">  Through this process, prime contractors submit reports </w:t>
      </w:r>
      <w:r w:rsidR="00253527">
        <w:rPr>
          <w:rFonts w:eastAsiaTheme="majorEastAsia"/>
        </w:rPr>
        <w:t xml:space="preserve">detailing </w:t>
      </w:r>
      <w:r w:rsidR="005B7BAB">
        <w:rPr>
          <w:rFonts w:eastAsiaTheme="majorEastAsia"/>
        </w:rPr>
        <w:t xml:space="preserve">how much of their funds went to WMBE </w:t>
      </w:r>
      <w:r w:rsidR="001051EE">
        <w:rPr>
          <w:rFonts w:eastAsiaTheme="majorEastAsia"/>
        </w:rPr>
        <w:t>sub</w:t>
      </w:r>
      <w:r w:rsidR="007435FD">
        <w:rPr>
          <w:rFonts w:eastAsiaTheme="majorEastAsia"/>
        </w:rPr>
        <w:t>-</w:t>
      </w:r>
      <w:r w:rsidR="001051EE">
        <w:rPr>
          <w:rFonts w:eastAsiaTheme="majorEastAsia"/>
        </w:rPr>
        <w:t>consultants</w:t>
      </w:r>
      <w:r w:rsidR="005B7BAB">
        <w:rPr>
          <w:rFonts w:eastAsiaTheme="majorEastAsia"/>
        </w:rPr>
        <w:t xml:space="preserve">. This data is collected on a quarterly basis.   The table below outlines the project expenditures for Mega Projects expected at the beginning of 2012 and the actual expenditures.  </w:t>
      </w:r>
      <w:r w:rsidR="005B7BAB" w:rsidRPr="00A452AE">
        <w:rPr>
          <w:rFonts w:eastAsiaTheme="majorEastAsia"/>
          <w:b/>
          <w:i/>
        </w:rPr>
        <w:t>Highlights include:</w:t>
      </w:r>
    </w:p>
    <w:p w:rsidR="005B7BAB" w:rsidRPr="009508C1" w:rsidRDefault="005B7BAB" w:rsidP="00EF08CC">
      <w:pPr>
        <w:pStyle w:val="ListParagraph"/>
        <w:numPr>
          <w:ilvl w:val="0"/>
          <w:numId w:val="3"/>
        </w:numPr>
        <w:spacing w:line="240" w:lineRule="auto"/>
        <w:rPr>
          <w:rFonts w:ascii="Arial" w:hAnsi="Arial" w:cs="Arial"/>
        </w:rPr>
      </w:pPr>
      <w:r w:rsidRPr="009508C1">
        <w:t>Actual WMBE utilization in 2012 was 6% higher than the goal set at the beginning of 2012</w:t>
      </w:r>
      <w:r w:rsidR="008C337B">
        <w:t>;</w:t>
      </w:r>
    </w:p>
    <w:p w:rsidR="005B7BAB" w:rsidRPr="00A452AE" w:rsidRDefault="005B7BAB" w:rsidP="00EF08CC">
      <w:pPr>
        <w:pStyle w:val="ListParagraph"/>
        <w:numPr>
          <w:ilvl w:val="0"/>
          <w:numId w:val="3"/>
        </w:numPr>
        <w:spacing w:line="240" w:lineRule="auto"/>
        <w:rPr>
          <w:rFonts w:ascii="Arial" w:hAnsi="Arial" w:cs="Arial"/>
          <w:b/>
          <w:i/>
        </w:rPr>
      </w:pPr>
      <w:r w:rsidRPr="00A452AE">
        <w:rPr>
          <w:b/>
          <w:i/>
        </w:rPr>
        <w:t>Exceeded projected total payments to WMBE firms by $1.64 million</w:t>
      </w:r>
      <w:r w:rsidR="008C337B">
        <w:rPr>
          <w:b/>
          <w:i/>
        </w:rPr>
        <w:t>;</w:t>
      </w:r>
    </w:p>
    <w:p w:rsidR="005B7BAB" w:rsidRPr="009508C1" w:rsidRDefault="005B7BAB" w:rsidP="00EF08CC">
      <w:pPr>
        <w:pStyle w:val="ListParagraph"/>
        <w:numPr>
          <w:ilvl w:val="0"/>
          <w:numId w:val="3"/>
        </w:numPr>
        <w:spacing w:line="240" w:lineRule="auto"/>
        <w:rPr>
          <w:rFonts w:ascii="Arial" w:hAnsi="Arial" w:cs="Arial"/>
        </w:rPr>
      </w:pPr>
      <w:r w:rsidRPr="009508C1">
        <w:t>Three out of four projects exceeded 2012 WMBE goals</w:t>
      </w:r>
      <w:r w:rsidR="008C337B">
        <w:t>;</w:t>
      </w:r>
    </w:p>
    <w:p w:rsidR="005B7BAB" w:rsidRPr="00A452AE" w:rsidRDefault="005B7BAB" w:rsidP="00EF08CC">
      <w:pPr>
        <w:pStyle w:val="ListParagraph"/>
        <w:numPr>
          <w:ilvl w:val="0"/>
          <w:numId w:val="3"/>
        </w:numPr>
        <w:spacing w:line="240" w:lineRule="auto"/>
        <w:rPr>
          <w:rFonts w:ascii="Arial" w:hAnsi="Arial" w:cs="Arial"/>
          <w:b/>
          <w:i/>
        </w:rPr>
      </w:pPr>
      <w:r w:rsidRPr="00A452AE">
        <w:rPr>
          <w:b/>
          <w:i/>
        </w:rPr>
        <w:t>The Seawall Project more than doubled the expected payments to WMBE firms</w:t>
      </w:r>
      <w:r w:rsidR="008C337B">
        <w:rPr>
          <w:b/>
          <w:i/>
        </w:rPr>
        <w:t>;</w:t>
      </w:r>
    </w:p>
    <w:p w:rsidR="005B7BAB" w:rsidRPr="00283599" w:rsidRDefault="005B7BAB" w:rsidP="00EF08CC">
      <w:pPr>
        <w:pStyle w:val="ListParagraph"/>
        <w:numPr>
          <w:ilvl w:val="0"/>
          <w:numId w:val="3"/>
        </w:numPr>
        <w:spacing w:line="240" w:lineRule="auto"/>
        <w:rPr>
          <w:rFonts w:ascii="Arial" w:hAnsi="Arial" w:cs="Arial"/>
        </w:rPr>
      </w:pPr>
      <w:r w:rsidRPr="009508C1">
        <w:t>Despite changes in the projected contract expenditures, WMBE utilization remained high</w:t>
      </w:r>
      <w:r w:rsidR="008C337B">
        <w:t>.</w:t>
      </w:r>
    </w:p>
    <w:p w:rsidR="00BC6349" w:rsidRDefault="00BC6349" w:rsidP="00283599">
      <w:pPr>
        <w:jc w:val="center"/>
        <w:rPr>
          <w:b/>
        </w:rPr>
      </w:pPr>
    </w:p>
    <w:p w:rsidR="00BC6349" w:rsidRDefault="00BC6349" w:rsidP="00283599">
      <w:pPr>
        <w:jc w:val="center"/>
        <w:rPr>
          <w:b/>
        </w:rPr>
      </w:pPr>
    </w:p>
    <w:p w:rsidR="00BC6349" w:rsidRDefault="00BC6349" w:rsidP="00283599">
      <w:pPr>
        <w:jc w:val="center"/>
        <w:rPr>
          <w:b/>
        </w:rPr>
      </w:pPr>
    </w:p>
    <w:p w:rsidR="00BC6349" w:rsidRDefault="00BC6349" w:rsidP="00283599">
      <w:pPr>
        <w:jc w:val="center"/>
        <w:rPr>
          <w:b/>
        </w:rPr>
      </w:pPr>
    </w:p>
    <w:p w:rsidR="00283599" w:rsidRPr="00FB4CFC" w:rsidRDefault="00283599" w:rsidP="00283599">
      <w:pPr>
        <w:jc w:val="center"/>
      </w:pPr>
      <w:r w:rsidRPr="00283599">
        <w:rPr>
          <w:b/>
        </w:rPr>
        <w:lastRenderedPageBreak/>
        <w:t xml:space="preserve">Table </w:t>
      </w:r>
      <w:r w:rsidR="00EA289A">
        <w:rPr>
          <w:b/>
        </w:rPr>
        <w:t>6</w:t>
      </w:r>
      <w:r w:rsidRPr="00283599">
        <w:rPr>
          <w:b/>
        </w:rPr>
        <w:t xml:space="preserve"> </w:t>
      </w:r>
      <w:r w:rsidRPr="00283599">
        <w:rPr>
          <w:b/>
          <w:color w:val="000000" w:themeColor="text1"/>
        </w:rPr>
        <w:t xml:space="preserve">– </w:t>
      </w:r>
      <w:r w:rsidR="00EA289A">
        <w:rPr>
          <w:b/>
          <w:color w:val="000000" w:themeColor="text1"/>
        </w:rPr>
        <w:t xml:space="preserve">Mega Projects </w:t>
      </w:r>
      <w:r w:rsidRPr="00283599">
        <w:rPr>
          <w:b/>
        </w:rPr>
        <w:t>Consulting Performance</w:t>
      </w:r>
      <w:r w:rsidR="00EA289A">
        <w:rPr>
          <w:b/>
        </w:rPr>
        <w:t xml:space="preserve"> 2012</w:t>
      </w:r>
    </w:p>
    <w:tbl>
      <w:tblPr>
        <w:tblStyle w:val="TableGrid"/>
        <w:tblW w:w="0" w:type="auto"/>
        <w:tblLook w:val="04A0" w:firstRow="1" w:lastRow="0" w:firstColumn="1" w:lastColumn="0" w:noHBand="0" w:noVBand="1"/>
      </w:tblPr>
      <w:tblGrid>
        <w:gridCol w:w="1477"/>
        <w:gridCol w:w="1702"/>
        <w:gridCol w:w="1682"/>
        <w:gridCol w:w="638"/>
        <w:gridCol w:w="1590"/>
        <w:gridCol w:w="1551"/>
        <w:gridCol w:w="1656"/>
      </w:tblGrid>
      <w:tr w:rsidR="00A54A04" w:rsidRPr="00E9522C" w:rsidTr="00F02FE1">
        <w:trPr>
          <w:trHeight w:hRule="exact" w:val="360"/>
        </w:trPr>
        <w:tc>
          <w:tcPr>
            <w:tcW w:w="0" w:type="auto"/>
            <w:hideMark/>
          </w:tcPr>
          <w:p w:rsidR="00A54A04" w:rsidRPr="00E1476A" w:rsidRDefault="00A54A04" w:rsidP="004A7312">
            <w:pPr>
              <w:spacing w:line="240" w:lineRule="auto"/>
              <w:rPr>
                <w:b/>
                <w:bCs/>
                <w:color w:val="000000"/>
              </w:rPr>
            </w:pPr>
            <w:r w:rsidRPr="00E1476A">
              <w:rPr>
                <w:rFonts w:cs="Arial"/>
                <w:highlight w:val="yellow"/>
              </w:rPr>
              <w:t xml:space="preserve"> </w:t>
            </w:r>
          </w:p>
        </w:tc>
        <w:tc>
          <w:tcPr>
            <w:tcW w:w="0" w:type="auto"/>
            <w:gridSpan w:val="3"/>
            <w:shd w:val="clear" w:color="auto" w:fill="4F81BD" w:themeFill="accent1"/>
            <w:hideMark/>
          </w:tcPr>
          <w:p w:rsidR="00A54A04" w:rsidRPr="00E1476A" w:rsidRDefault="00A54A04" w:rsidP="004A7312">
            <w:pPr>
              <w:spacing w:line="240" w:lineRule="auto"/>
              <w:jc w:val="center"/>
              <w:rPr>
                <w:rFonts w:cs="Arial"/>
                <w:b/>
                <w:bCs/>
                <w:color w:val="FFFFFF" w:themeColor="background1"/>
              </w:rPr>
            </w:pPr>
            <w:r w:rsidRPr="00E1476A">
              <w:rPr>
                <w:rFonts w:cs="Arial"/>
                <w:b/>
                <w:bCs/>
                <w:color w:val="FFFFFF" w:themeColor="background1"/>
              </w:rPr>
              <w:t>Projected 2012 Expenditures</w:t>
            </w:r>
          </w:p>
        </w:tc>
        <w:tc>
          <w:tcPr>
            <w:tcW w:w="0" w:type="auto"/>
            <w:gridSpan w:val="3"/>
            <w:shd w:val="clear" w:color="auto" w:fill="4F81BD" w:themeFill="accent1"/>
            <w:hideMark/>
          </w:tcPr>
          <w:p w:rsidR="00A54A04" w:rsidRPr="00E1476A" w:rsidRDefault="00A54A04" w:rsidP="004A7312">
            <w:pPr>
              <w:spacing w:line="240" w:lineRule="auto"/>
              <w:jc w:val="center"/>
              <w:rPr>
                <w:rFonts w:cs="Arial"/>
                <w:b/>
                <w:bCs/>
                <w:color w:val="FFFFFF" w:themeColor="background1"/>
              </w:rPr>
            </w:pPr>
            <w:r w:rsidRPr="00E1476A">
              <w:rPr>
                <w:rFonts w:cs="Arial"/>
                <w:b/>
                <w:bCs/>
                <w:color w:val="FFFFFF" w:themeColor="background1"/>
              </w:rPr>
              <w:t>Actual 2012 Expenditures</w:t>
            </w:r>
          </w:p>
        </w:tc>
      </w:tr>
      <w:tr w:rsidR="00A54A04" w:rsidRPr="00E9522C" w:rsidTr="00F02FE1">
        <w:trPr>
          <w:trHeight w:val="360"/>
        </w:trPr>
        <w:tc>
          <w:tcPr>
            <w:tcW w:w="0" w:type="auto"/>
            <w:hideMark/>
          </w:tcPr>
          <w:p w:rsidR="00A54A04" w:rsidRPr="00B23280" w:rsidRDefault="00A54A04" w:rsidP="004A7312">
            <w:pPr>
              <w:spacing w:line="240" w:lineRule="auto"/>
              <w:rPr>
                <w:b/>
              </w:rPr>
            </w:pPr>
            <w:r w:rsidRPr="00B23280">
              <w:rPr>
                <w:b/>
              </w:rPr>
              <w:t xml:space="preserve">Project </w:t>
            </w:r>
          </w:p>
        </w:tc>
        <w:tc>
          <w:tcPr>
            <w:tcW w:w="0" w:type="auto"/>
            <w:hideMark/>
          </w:tcPr>
          <w:p w:rsidR="00A54A04" w:rsidRPr="00B23280" w:rsidRDefault="00A54A04" w:rsidP="004A7312">
            <w:pPr>
              <w:spacing w:line="240" w:lineRule="auto"/>
              <w:rPr>
                <w:b/>
                <w:bCs/>
              </w:rPr>
            </w:pPr>
            <w:r w:rsidRPr="00B23280">
              <w:rPr>
                <w:b/>
                <w:bCs/>
              </w:rPr>
              <w:t xml:space="preserve">Projected Contract Exp </w:t>
            </w:r>
          </w:p>
        </w:tc>
        <w:tc>
          <w:tcPr>
            <w:tcW w:w="0" w:type="auto"/>
            <w:hideMark/>
          </w:tcPr>
          <w:p w:rsidR="00A54A04" w:rsidRPr="00B23280" w:rsidRDefault="00A54A04" w:rsidP="004A7312">
            <w:pPr>
              <w:spacing w:line="240" w:lineRule="auto"/>
              <w:rPr>
                <w:b/>
                <w:bCs/>
              </w:rPr>
            </w:pPr>
            <w:r w:rsidRPr="00B23280">
              <w:rPr>
                <w:b/>
                <w:bCs/>
              </w:rPr>
              <w:t xml:space="preserve">Projected WMBE  Spend </w:t>
            </w:r>
          </w:p>
        </w:tc>
        <w:tc>
          <w:tcPr>
            <w:tcW w:w="0" w:type="auto"/>
            <w:hideMark/>
          </w:tcPr>
          <w:p w:rsidR="00A54A04" w:rsidRPr="00B23280" w:rsidRDefault="00A54A04" w:rsidP="004A7312">
            <w:pPr>
              <w:spacing w:line="240" w:lineRule="auto"/>
              <w:rPr>
                <w:b/>
                <w:bCs/>
              </w:rPr>
            </w:pPr>
            <w:r w:rsidRPr="00B23280">
              <w:rPr>
                <w:b/>
                <w:bCs/>
              </w:rPr>
              <w:t xml:space="preserve">Goal </w:t>
            </w:r>
          </w:p>
        </w:tc>
        <w:tc>
          <w:tcPr>
            <w:tcW w:w="0" w:type="auto"/>
            <w:hideMark/>
          </w:tcPr>
          <w:p w:rsidR="00A54A04" w:rsidRPr="00B23280" w:rsidRDefault="00A54A04" w:rsidP="004A7312">
            <w:pPr>
              <w:spacing w:line="240" w:lineRule="auto"/>
              <w:rPr>
                <w:b/>
                <w:bCs/>
              </w:rPr>
            </w:pPr>
            <w:r w:rsidRPr="00B23280">
              <w:rPr>
                <w:b/>
                <w:bCs/>
              </w:rPr>
              <w:t>Actual Contract Exp</w:t>
            </w:r>
            <w:r w:rsidRPr="00B23280">
              <w:rPr>
                <w:b/>
              </w:rPr>
              <w:t xml:space="preserve"> </w:t>
            </w:r>
          </w:p>
        </w:tc>
        <w:tc>
          <w:tcPr>
            <w:tcW w:w="0" w:type="auto"/>
            <w:hideMark/>
          </w:tcPr>
          <w:p w:rsidR="00A54A04" w:rsidRPr="00B23280" w:rsidRDefault="00A54A04" w:rsidP="004A7312">
            <w:pPr>
              <w:spacing w:line="240" w:lineRule="auto"/>
              <w:rPr>
                <w:b/>
                <w:bCs/>
              </w:rPr>
            </w:pPr>
            <w:r w:rsidRPr="00B23280">
              <w:rPr>
                <w:b/>
                <w:bCs/>
              </w:rPr>
              <w:t>Actual WMBE Spend</w:t>
            </w:r>
          </w:p>
        </w:tc>
        <w:tc>
          <w:tcPr>
            <w:tcW w:w="0" w:type="auto"/>
            <w:hideMark/>
          </w:tcPr>
          <w:p w:rsidR="00A54A04" w:rsidRPr="00B23280" w:rsidRDefault="00A54A04" w:rsidP="004A7312">
            <w:pPr>
              <w:spacing w:line="240" w:lineRule="auto"/>
              <w:rPr>
                <w:b/>
                <w:bCs/>
              </w:rPr>
            </w:pPr>
            <w:r w:rsidRPr="00B23280">
              <w:rPr>
                <w:b/>
                <w:bCs/>
              </w:rPr>
              <w:t xml:space="preserve">Actual WMBE Utilization </w:t>
            </w:r>
          </w:p>
        </w:tc>
      </w:tr>
      <w:tr w:rsidR="00A54A04" w:rsidRPr="00E9522C" w:rsidTr="00F02FE1">
        <w:trPr>
          <w:trHeight w:hRule="exact" w:val="523"/>
        </w:trPr>
        <w:tc>
          <w:tcPr>
            <w:tcW w:w="0" w:type="auto"/>
            <w:hideMark/>
          </w:tcPr>
          <w:p w:rsidR="00A54A04" w:rsidRPr="00B23280" w:rsidRDefault="00A54A04" w:rsidP="004A7312">
            <w:pPr>
              <w:spacing w:line="240" w:lineRule="auto"/>
              <w:rPr>
                <w:b/>
              </w:rPr>
            </w:pPr>
            <w:r w:rsidRPr="00B23280">
              <w:rPr>
                <w:b/>
              </w:rPr>
              <w:t xml:space="preserve">First Hill Streetcar  </w:t>
            </w:r>
          </w:p>
        </w:tc>
        <w:tc>
          <w:tcPr>
            <w:tcW w:w="0" w:type="auto"/>
            <w:hideMark/>
          </w:tcPr>
          <w:p w:rsidR="00A54A04" w:rsidRPr="00B23280" w:rsidRDefault="00A54A04" w:rsidP="004A7312">
            <w:pPr>
              <w:spacing w:line="240" w:lineRule="auto"/>
            </w:pPr>
            <w:r w:rsidRPr="00B23280">
              <w:t xml:space="preserve">$1,250,000 </w:t>
            </w:r>
          </w:p>
        </w:tc>
        <w:tc>
          <w:tcPr>
            <w:tcW w:w="0" w:type="auto"/>
            <w:hideMark/>
          </w:tcPr>
          <w:p w:rsidR="00A54A04" w:rsidRPr="00B23280" w:rsidRDefault="00A54A04" w:rsidP="004A7312">
            <w:pPr>
              <w:spacing w:line="240" w:lineRule="auto"/>
            </w:pPr>
            <w:r w:rsidRPr="00B23280">
              <w:t xml:space="preserve">$312,500 </w:t>
            </w:r>
          </w:p>
        </w:tc>
        <w:tc>
          <w:tcPr>
            <w:tcW w:w="0" w:type="auto"/>
            <w:hideMark/>
          </w:tcPr>
          <w:p w:rsidR="00A54A04" w:rsidRPr="00B23280" w:rsidRDefault="00A54A04" w:rsidP="004A7312">
            <w:pPr>
              <w:spacing w:line="240" w:lineRule="auto"/>
            </w:pPr>
            <w:r w:rsidRPr="00B23280">
              <w:t>25%</w:t>
            </w:r>
          </w:p>
        </w:tc>
        <w:tc>
          <w:tcPr>
            <w:tcW w:w="0" w:type="auto"/>
            <w:hideMark/>
          </w:tcPr>
          <w:p w:rsidR="00A54A04" w:rsidRPr="00B23280" w:rsidRDefault="00A54A04" w:rsidP="004A7312">
            <w:pPr>
              <w:spacing w:line="240" w:lineRule="auto"/>
            </w:pPr>
            <w:r w:rsidRPr="00B23280">
              <w:t xml:space="preserve">$1,062,417 </w:t>
            </w:r>
          </w:p>
        </w:tc>
        <w:tc>
          <w:tcPr>
            <w:tcW w:w="0" w:type="auto"/>
            <w:hideMark/>
          </w:tcPr>
          <w:p w:rsidR="00A54A04" w:rsidRPr="00B23280" w:rsidRDefault="00A54A04" w:rsidP="004A7312">
            <w:pPr>
              <w:spacing w:line="240" w:lineRule="auto"/>
            </w:pPr>
            <w:r w:rsidRPr="00B23280">
              <w:t xml:space="preserve">$342,100 </w:t>
            </w:r>
          </w:p>
        </w:tc>
        <w:tc>
          <w:tcPr>
            <w:tcW w:w="0" w:type="auto"/>
            <w:hideMark/>
          </w:tcPr>
          <w:p w:rsidR="00A54A04" w:rsidRPr="00B23280" w:rsidRDefault="00A54A04" w:rsidP="004A7312">
            <w:pPr>
              <w:spacing w:line="240" w:lineRule="auto"/>
              <w:rPr>
                <w:b/>
              </w:rPr>
            </w:pPr>
            <w:r w:rsidRPr="00B23280">
              <w:rPr>
                <w:b/>
              </w:rPr>
              <w:t>32.2%</w:t>
            </w:r>
          </w:p>
        </w:tc>
      </w:tr>
      <w:tr w:rsidR="00A54A04" w:rsidRPr="00E9522C" w:rsidTr="00F02FE1">
        <w:trPr>
          <w:trHeight w:hRule="exact" w:val="360"/>
        </w:trPr>
        <w:tc>
          <w:tcPr>
            <w:tcW w:w="0" w:type="auto"/>
            <w:hideMark/>
          </w:tcPr>
          <w:p w:rsidR="00A54A04" w:rsidRPr="00B23280" w:rsidRDefault="00A54A04" w:rsidP="004A7312">
            <w:pPr>
              <w:spacing w:line="240" w:lineRule="auto"/>
              <w:rPr>
                <w:b/>
              </w:rPr>
            </w:pPr>
            <w:r w:rsidRPr="00B23280">
              <w:rPr>
                <w:b/>
              </w:rPr>
              <w:t xml:space="preserve">Seawall  </w:t>
            </w:r>
          </w:p>
        </w:tc>
        <w:tc>
          <w:tcPr>
            <w:tcW w:w="0" w:type="auto"/>
            <w:hideMark/>
          </w:tcPr>
          <w:p w:rsidR="00A54A04" w:rsidRPr="00B23280" w:rsidRDefault="00A54A04" w:rsidP="004A7312">
            <w:pPr>
              <w:spacing w:line="240" w:lineRule="auto"/>
            </w:pPr>
            <w:r w:rsidRPr="00B23280">
              <w:t xml:space="preserve">$11,000,000 </w:t>
            </w:r>
          </w:p>
        </w:tc>
        <w:tc>
          <w:tcPr>
            <w:tcW w:w="0" w:type="auto"/>
            <w:hideMark/>
          </w:tcPr>
          <w:p w:rsidR="00A54A04" w:rsidRPr="00B23280" w:rsidRDefault="00A54A04" w:rsidP="004A7312">
            <w:pPr>
              <w:spacing w:line="240" w:lineRule="auto"/>
            </w:pPr>
            <w:r w:rsidRPr="00B23280">
              <w:t xml:space="preserve">$1,430,000 </w:t>
            </w:r>
          </w:p>
        </w:tc>
        <w:tc>
          <w:tcPr>
            <w:tcW w:w="0" w:type="auto"/>
            <w:hideMark/>
          </w:tcPr>
          <w:p w:rsidR="00A54A04" w:rsidRPr="00B23280" w:rsidRDefault="00A54A04" w:rsidP="004A7312">
            <w:pPr>
              <w:spacing w:line="240" w:lineRule="auto"/>
            </w:pPr>
            <w:r w:rsidRPr="00B23280">
              <w:t>13%</w:t>
            </w:r>
          </w:p>
        </w:tc>
        <w:tc>
          <w:tcPr>
            <w:tcW w:w="0" w:type="auto"/>
            <w:hideMark/>
          </w:tcPr>
          <w:p w:rsidR="00A54A04" w:rsidRPr="00B23280" w:rsidRDefault="00A54A04" w:rsidP="004A7312">
            <w:pPr>
              <w:spacing w:line="240" w:lineRule="auto"/>
            </w:pPr>
            <w:r w:rsidRPr="00B23280">
              <w:t xml:space="preserve">$14,383,236 </w:t>
            </w:r>
          </w:p>
        </w:tc>
        <w:tc>
          <w:tcPr>
            <w:tcW w:w="0" w:type="auto"/>
            <w:hideMark/>
          </w:tcPr>
          <w:p w:rsidR="00A54A04" w:rsidRPr="00B23280" w:rsidRDefault="00A54A04" w:rsidP="004A7312">
            <w:pPr>
              <w:spacing w:line="240" w:lineRule="auto"/>
            </w:pPr>
            <w:r w:rsidRPr="00B23280">
              <w:t xml:space="preserve">$3,100,477 </w:t>
            </w:r>
          </w:p>
        </w:tc>
        <w:tc>
          <w:tcPr>
            <w:tcW w:w="0" w:type="auto"/>
            <w:hideMark/>
          </w:tcPr>
          <w:p w:rsidR="00A54A04" w:rsidRPr="00B23280" w:rsidRDefault="00A54A04" w:rsidP="004A7312">
            <w:pPr>
              <w:spacing w:line="240" w:lineRule="auto"/>
              <w:rPr>
                <w:b/>
              </w:rPr>
            </w:pPr>
            <w:r w:rsidRPr="00B23280">
              <w:rPr>
                <w:b/>
              </w:rPr>
              <w:t>21.6%</w:t>
            </w:r>
          </w:p>
        </w:tc>
      </w:tr>
      <w:tr w:rsidR="00A54A04" w:rsidRPr="00E9522C" w:rsidTr="00F02FE1">
        <w:trPr>
          <w:trHeight w:hRule="exact" w:val="360"/>
        </w:trPr>
        <w:tc>
          <w:tcPr>
            <w:tcW w:w="0" w:type="auto"/>
            <w:hideMark/>
          </w:tcPr>
          <w:p w:rsidR="00A54A04" w:rsidRPr="00B23280" w:rsidRDefault="00A54A04" w:rsidP="004A7312">
            <w:pPr>
              <w:spacing w:line="240" w:lineRule="auto"/>
              <w:rPr>
                <w:b/>
              </w:rPr>
            </w:pPr>
            <w:r w:rsidRPr="00B23280">
              <w:rPr>
                <w:b/>
              </w:rPr>
              <w:t xml:space="preserve">Waterfront  </w:t>
            </w:r>
          </w:p>
        </w:tc>
        <w:tc>
          <w:tcPr>
            <w:tcW w:w="0" w:type="auto"/>
            <w:hideMark/>
          </w:tcPr>
          <w:p w:rsidR="00A54A04" w:rsidRPr="00B23280" w:rsidRDefault="00A54A04" w:rsidP="004A7312">
            <w:pPr>
              <w:spacing w:line="240" w:lineRule="auto"/>
            </w:pPr>
            <w:r w:rsidRPr="00B23280">
              <w:t xml:space="preserve">$3,083,000 </w:t>
            </w:r>
          </w:p>
        </w:tc>
        <w:tc>
          <w:tcPr>
            <w:tcW w:w="0" w:type="auto"/>
            <w:hideMark/>
          </w:tcPr>
          <w:p w:rsidR="00A54A04" w:rsidRPr="00B23280" w:rsidRDefault="00A54A04" w:rsidP="004A7312">
            <w:pPr>
              <w:spacing w:line="240" w:lineRule="auto"/>
            </w:pPr>
            <w:r w:rsidRPr="00B23280">
              <w:t xml:space="preserve">$308,300 </w:t>
            </w:r>
          </w:p>
        </w:tc>
        <w:tc>
          <w:tcPr>
            <w:tcW w:w="0" w:type="auto"/>
            <w:hideMark/>
          </w:tcPr>
          <w:p w:rsidR="00A54A04" w:rsidRPr="00B23280" w:rsidRDefault="00A54A04" w:rsidP="004A7312">
            <w:pPr>
              <w:spacing w:line="240" w:lineRule="auto"/>
            </w:pPr>
            <w:r w:rsidRPr="00B23280">
              <w:t>10%</w:t>
            </w:r>
          </w:p>
        </w:tc>
        <w:tc>
          <w:tcPr>
            <w:tcW w:w="0" w:type="auto"/>
            <w:hideMark/>
          </w:tcPr>
          <w:p w:rsidR="00A54A04" w:rsidRPr="00B23280" w:rsidRDefault="00A54A04" w:rsidP="004A7312">
            <w:pPr>
              <w:spacing w:line="240" w:lineRule="auto"/>
            </w:pPr>
            <w:r w:rsidRPr="00B23280">
              <w:t xml:space="preserve">$4,137,174 </w:t>
            </w:r>
          </w:p>
        </w:tc>
        <w:tc>
          <w:tcPr>
            <w:tcW w:w="0" w:type="auto"/>
            <w:hideMark/>
          </w:tcPr>
          <w:p w:rsidR="00A54A04" w:rsidRPr="00B23280" w:rsidRDefault="00A54A04" w:rsidP="004A7312">
            <w:pPr>
              <w:spacing w:line="240" w:lineRule="auto"/>
            </w:pPr>
            <w:r w:rsidRPr="00B23280">
              <w:t xml:space="preserve">$491,696 </w:t>
            </w:r>
          </w:p>
        </w:tc>
        <w:tc>
          <w:tcPr>
            <w:tcW w:w="0" w:type="auto"/>
            <w:hideMark/>
          </w:tcPr>
          <w:p w:rsidR="00A54A04" w:rsidRPr="00B23280" w:rsidRDefault="00A54A04" w:rsidP="004A7312">
            <w:pPr>
              <w:spacing w:line="240" w:lineRule="auto"/>
              <w:rPr>
                <w:b/>
              </w:rPr>
            </w:pPr>
            <w:r w:rsidRPr="00B23280">
              <w:rPr>
                <w:b/>
              </w:rPr>
              <w:t>11.9%</w:t>
            </w:r>
          </w:p>
        </w:tc>
      </w:tr>
      <w:tr w:rsidR="00A54A04" w:rsidRPr="00E9522C" w:rsidTr="00F02FE1">
        <w:trPr>
          <w:trHeight w:hRule="exact" w:val="360"/>
        </w:trPr>
        <w:tc>
          <w:tcPr>
            <w:tcW w:w="0" w:type="auto"/>
            <w:hideMark/>
          </w:tcPr>
          <w:p w:rsidR="00A54A04" w:rsidRPr="00B23280" w:rsidRDefault="00A54A04" w:rsidP="004A7312">
            <w:pPr>
              <w:spacing w:line="240" w:lineRule="auto"/>
              <w:rPr>
                <w:b/>
              </w:rPr>
            </w:pPr>
            <w:r w:rsidRPr="00B23280">
              <w:rPr>
                <w:b/>
              </w:rPr>
              <w:t xml:space="preserve">Mercer West  </w:t>
            </w:r>
          </w:p>
        </w:tc>
        <w:tc>
          <w:tcPr>
            <w:tcW w:w="0" w:type="auto"/>
            <w:hideMark/>
          </w:tcPr>
          <w:p w:rsidR="00A54A04" w:rsidRPr="00B23280" w:rsidRDefault="00A54A04" w:rsidP="004A7312">
            <w:pPr>
              <w:spacing w:line="240" w:lineRule="auto"/>
            </w:pPr>
            <w:r w:rsidRPr="00B23280">
              <w:t xml:space="preserve">$5,900,000 </w:t>
            </w:r>
          </w:p>
        </w:tc>
        <w:tc>
          <w:tcPr>
            <w:tcW w:w="0" w:type="auto"/>
            <w:hideMark/>
          </w:tcPr>
          <w:p w:rsidR="00A54A04" w:rsidRPr="00B23280" w:rsidRDefault="00A54A04" w:rsidP="004A7312">
            <w:pPr>
              <w:spacing w:line="240" w:lineRule="auto"/>
            </w:pPr>
            <w:r w:rsidRPr="00B23280">
              <w:t xml:space="preserve">$590,000 </w:t>
            </w:r>
          </w:p>
        </w:tc>
        <w:tc>
          <w:tcPr>
            <w:tcW w:w="0" w:type="auto"/>
            <w:hideMark/>
          </w:tcPr>
          <w:p w:rsidR="00A54A04" w:rsidRPr="00B23280" w:rsidRDefault="00A54A04" w:rsidP="004A7312">
            <w:pPr>
              <w:spacing w:line="240" w:lineRule="auto"/>
            </w:pPr>
            <w:r w:rsidRPr="00B23280">
              <w:t>10%</w:t>
            </w:r>
          </w:p>
        </w:tc>
        <w:tc>
          <w:tcPr>
            <w:tcW w:w="0" w:type="auto"/>
            <w:hideMark/>
          </w:tcPr>
          <w:p w:rsidR="00A54A04" w:rsidRPr="00B23280" w:rsidRDefault="00A54A04" w:rsidP="004A7312">
            <w:pPr>
              <w:spacing w:line="240" w:lineRule="auto"/>
            </w:pPr>
            <w:r w:rsidRPr="00B23280">
              <w:t xml:space="preserve">$4,145,788 </w:t>
            </w:r>
          </w:p>
        </w:tc>
        <w:tc>
          <w:tcPr>
            <w:tcW w:w="0" w:type="auto"/>
            <w:hideMark/>
          </w:tcPr>
          <w:p w:rsidR="00A54A04" w:rsidRPr="00B23280" w:rsidRDefault="00A54A04" w:rsidP="004A7312">
            <w:pPr>
              <w:spacing w:line="240" w:lineRule="auto"/>
            </w:pPr>
            <w:r w:rsidRPr="00B23280">
              <w:t xml:space="preserve">$350,193 </w:t>
            </w:r>
          </w:p>
        </w:tc>
        <w:tc>
          <w:tcPr>
            <w:tcW w:w="0" w:type="auto"/>
            <w:hideMark/>
          </w:tcPr>
          <w:p w:rsidR="00A54A04" w:rsidRPr="00B23280" w:rsidRDefault="00A54A04" w:rsidP="004A7312">
            <w:pPr>
              <w:spacing w:line="240" w:lineRule="auto"/>
              <w:rPr>
                <w:b/>
              </w:rPr>
            </w:pPr>
            <w:r w:rsidRPr="00B23280">
              <w:rPr>
                <w:b/>
              </w:rPr>
              <w:t>8.4%</w:t>
            </w:r>
          </w:p>
        </w:tc>
      </w:tr>
      <w:tr w:rsidR="00A54A04" w:rsidRPr="00E9522C" w:rsidTr="00F02FE1">
        <w:trPr>
          <w:trHeight w:hRule="exact" w:val="360"/>
        </w:trPr>
        <w:tc>
          <w:tcPr>
            <w:tcW w:w="0" w:type="auto"/>
            <w:hideMark/>
          </w:tcPr>
          <w:p w:rsidR="00A54A04" w:rsidRPr="00B23280" w:rsidRDefault="00A54A04" w:rsidP="004A7312">
            <w:pPr>
              <w:spacing w:line="240" w:lineRule="auto"/>
              <w:rPr>
                <w:b/>
                <w:i/>
              </w:rPr>
            </w:pPr>
            <w:r w:rsidRPr="00B23280">
              <w:rPr>
                <w:b/>
                <w:i/>
              </w:rPr>
              <w:t xml:space="preserve">Total  </w:t>
            </w:r>
          </w:p>
        </w:tc>
        <w:tc>
          <w:tcPr>
            <w:tcW w:w="0" w:type="auto"/>
            <w:hideMark/>
          </w:tcPr>
          <w:p w:rsidR="00A54A04" w:rsidRPr="00B23280" w:rsidRDefault="00A54A04" w:rsidP="004A7312">
            <w:pPr>
              <w:spacing w:line="240" w:lineRule="auto"/>
              <w:rPr>
                <w:b/>
                <w:bCs/>
                <w:i/>
                <w:iCs/>
              </w:rPr>
            </w:pPr>
            <w:r w:rsidRPr="00B23280">
              <w:rPr>
                <w:b/>
                <w:bCs/>
                <w:i/>
                <w:iCs/>
              </w:rPr>
              <w:t xml:space="preserve">$21,233,000 </w:t>
            </w:r>
          </w:p>
        </w:tc>
        <w:tc>
          <w:tcPr>
            <w:tcW w:w="0" w:type="auto"/>
            <w:hideMark/>
          </w:tcPr>
          <w:p w:rsidR="00A54A04" w:rsidRPr="00B23280" w:rsidRDefault="00A54A04" w:rsidP="004A7312">
            <w:pPr>
              <w:spacing w:line="240" w:lineRule="auto"/>
              <w:rPr>
                <w:b/>
                <w:bCs/>
                <w:i/>
                <w:iCs/>
              </w:rPr>
            </w:pPr>
            <w:r w:rsidRPr="00B23280">
              <w:rPr>
                <w:b/>
                <w:bCs/>
                <w:i/>
                <w:iCs/>
              </w:rPr>
              <w:t xml:space="preserve">$2,640,800 </w:t>
            </w:r>
          </w:p>
        </w:tc>
        <w:tc>
          <w:tcPr>
            <w:tcW w:w="0" w:type="auto"/>
            <w:hideMark/>
          </w:tcPr>
          <w:p w:rsidR="00A54A04" w:rsidRPr="00B23280" w:rsidRDefault="00A54A04" w:rsidP="004A7312">
            <w:pPr>
              <w:spacing w:line="240" w:lineRule="auto"/>
              <w:rPr>
                <w:b/>
                <w:bCs/>
                <w:i/>
                <w:iCs/>
              </w:rPr>
            </w:pPr>
            <w:r w:rsidRPr="00B23280">
              <w:rPr>
                <w:b/>
                <w:bCs/>
                <w:i/>
                <w:iCs/>
              </w:rPr>
              <w:t>12%</w:t>
            </w:r>
          </w:p>
        </w:tc>
        <w:tc>
          <w:tcPr>
            <w:tcW w:w="0" w:type="auto"/>
            <w:hideMark/>
          </w:tcPr>
          <w:p w:rsidR="00A54A04" w:rsidRPr="00B23280" w:rsidRDefault="00A54A04" w:rsidP="004A7312">
            <w:pPr>
              <w:spacing w:line="240" w:lineRule="auto"/>
              <w:rPr>
                <w:b/>
                <w:bCs/>
                <w:i/>
                <w:iCs/>
              </w:rPr>
            </w:pPr>
            <w:r w:rsidRPr="00B23280">
              <w:rPr>
                <w:b/>
                <w:bCs/>
                <w:i/>
                <w:iCs/>
              </w:rPr>
              <w:t xml:space="preserve">$23,728,615 </w:t>
            </w:r>
          </w:p>
        </w:tc>
        <w:tc>
          <w:tcPr>
            <w:tcW w:w="0" w:type="auto"/>
            <w:hideMark/>
          </w:tcPr>
          <w:p w:rsidR="00A54A04" w:rsidRPr="00B23280" w:rsidRDefault="00A54A04" w:rsidP="004A7312">
            <w:pPr>
              <w:spacing w:line="240" w:lineRule="auto"/>
              <w:rPr>
                <w:b/>
                <w:bCs/>
                <w:i/>
                <w:iCs/>
              </w:rPr>
            </w:pPr>
            <w:r w:rsidRPr="00B23280">
              <w:rPr>
                <w:b/>
                <w:bCs/>
                <w:i/>
                <w:iCs/>
              </w:rPr>
              <w:t xml:space="preserve">$4,284,466 </w:t>
            </w:r>
          </w:p>
        </w:tc>
        <w:tc>
          <w:tcPr>
            <w:tcW w:w="0" w:type="auto"/>
            <w:hideMark/>
          </w:tcPr>
          <w:p w:rsidR="00A54A04" w:rsidRPr="00B23280" w:rsidRDefault="00F02FE1" w:rsidP="004A7312">
            <w:pPr>
              <w:spacing w:line="240" w:lineRule="auto"/>
              <w:rPr>
                <w:b/>
                <w:bCs/>
                <w:i/>
                <w:iCs/>
              </w:rPr>
            </w:pPr>
            <w:r>
              <w:rPr>
                <w:b/>
                <w:bCs/>
                <w:i/>
                <w:iCs/>
              </w:rPr>
              <w:t>18</w:t>
            </w:r>
            <w:r w:rsidR="00A54A04" w:rsidRPr="00B23280">
              <w:rPr>
                <w:b/>
                <w:bCs/>
                <w:i/>
                <w:iCs/>
              </w:rPr>
              <w:t>%</w:t>
            </w:r>
          </w:p>
        </w:tc>
      </w:tr>
    </w:tbl>
    <w:p w:rsidR="00D80269" w:rsidRDefault="00B23280" w:rsidP="00B23280">
      <w:pPr>
        <w:spacing w:before="200"/>
      </w:pPr>
      <w:r w:rsidRPr="00A452AE">
        <w:rPr>
          <w:b/>
          <w:i/>
        </w:rPr>
        <w:t>S</w:t>
      </w:r>
      <w:r w:rsidR="00D80269" w:rsidRPr="00A452AE">
        <w:rPr>
          <w:b/>
          <w:i/>
        </w:rPr>
        <w:t>DOT estimates that it will spend $24.75 million on mega projects in 2013,</w:t>
      </w:r>
      <w:r w:rsidR="00D80269">
        <w:t xml:space="preserve"> with 14.23% going to WMBE firms. SDOT </w:t>
      </w:r>
      <w:r w:rsidR="001A33E1">
        <w:t xml:space="preserve">has </w:t>
      </w:r>
      <w:r w:rsidR="00D80269">
        <w:t>ask</w:t>
      </w:r>
      <w:r w:rsidR="001A33E1">
        <w:t>ed</w:t>
      </w:r>
      <w:r w:rsidR="00D80269">
        <w:t xml:space="preserve"> FAS to is</w:t>
      </w:r>
      <w:r w:rsidR="00E1476A">
        <w:t>olate these expenditures from “t</w:t>
      </w:r>
      <w:r w:rsidR="00D80269">
        <w:t>raditional</w:t>
      </w:r>
      <w:r w:rsidR="00E1476A">
        <w:t>”</w:t>
      </w:r>
      <w:r w:rsidR="00D80269">
        <w:t xml:space="preserve"> consultant spend. The </w:t>
      </w:r>
      <w:r w:rsidR="001A33E1">
        <w:t xml:space="preserve">table </w:t>
      </w:r>
      <w:r w:rsidR="00D80269">
        <w:t xml:space="preserve">below illustrates the expected expenditures for each of the four mega projects. </w:t>
      </w:r>
      <w:r w:rsidR="00D80269" w:rsidRPr="00A452AE">
        <w:rPr>
          <w:b/>
          <w:i/>
        </w:rPr>
        <w:t>SDOT commits to a goal of 14%</w:t>
      </w:r>
      <w:r w:rsidR="00E1476A" w:rsidRPr="00A452AE">
        <w:rPr>
          <w:b/>
          <w:i/>
        </w:rPr>
        <w:t xml:space="preserve"> in 2013</w:t>
      </w:r>
      <w:r w:rsidR="00D80269" w:rsidRPr="00A452AE">
        <w:rPr>
          <w:b/>
          <w:i/>
        </w:rPr>
        <w:t>.</w:t>
      </w:r>
      <w:r w:rsidR="00D80269">
        <w:t xml:space="preserve"> </w:t>
      </w:r>
    </w:p>
    <w:p w:rsidR="00283599" w:rsidRPr="00FB4CFC" w:rsidRDefault="00283599" w:rsidP="00283599">
      <w:pPr>
        <w:jc w:val="center"/>
      </w:pPr>
      <w:r w:rsidRPr="00283599">
        <w:rPr>
          <w:b/>
        </w:rPr>
        <w:t xml:space="preserve">Table </w:t>
      </w:r>
      <w:r w:rsidR="00BC30FC">
        <w:rPr>
          <w:b/>
        </w:rPr>
        <w:t>7</w:t>
      </w:r>
      <w:r w:rsidRPr="00283599">
        <w:rPr>
          <w:b/>
        </w:rPr>
        <w:t xml:space="preserve"> </w:t>
      </w:r>
      <w:r w:rsidRPr="00283599">
        <w:rPr>
          <w:b/>
          <w:color w:val="000000" w:themeColor="text1"/>
        </w:rPr>
        <w:t>–</w:t>
      </w:r>
      <w:r w:rsidR="00BC30FC">
        <w:rPr>
          <w:b/>
          <w:color w:val="000000" w:themeColor="text1"/>
        </w:rPr>
        <w:t xml:space="preserve"> Projected 2013</w:t>
      </w:r>
      <w:r w:rsidRPr="00283599">
        <w:rPr>
          <w:b/>
          <w:color w:val="000000" w:themeColor="text1"/>
        </w:rPr>
        <w:t xml:space="preserve"> </w:t>
      </w:r>
      <w:r>
        <w:rPr>
          <w:b/>
        </w:rPr>
        <w:t>SDOT Mega Projects Utilization</w:t>
      </w:r>
    </w:p>
    <w:tbl>
      <w:tblPr>
        <w:tblStyle w:val="TableGrid"/>
        <w:tblW w:w="0" w:type="auto"/>
        <w:jc w:val="center"/>
        <w:tblLook w:val="04A0" w:firstRow="1" w:lastRow="0" w:firstColumn="1" w:lastColumn="0" w:noHBand="0" w:noVBand="1"/>
      </w:tblPr>
      <w:tblGrid>
        <w:gridCol w:w="1812"/>
        <w:gridCol w:w="2209"/>
        <w:gridCol w:w="2334"/>
        <w:gridCol w:w="882"/>
      </w:tblGrid>
      <w:tr w:rsidR="001051EE" w:rsidRPr="00E97A1D" w:rsidTr="00351C69">
        <w:trPr>
          <w:trHeight w:hRule="exact" w:val="288"/>
          <w:jc w:val="center"/>
        </w:trPr>
        <w:tc>
          <w:tcPr>
            <w:tcW w:w="0" w:type="auto"/>
            <w:hideMark/>
          </w:tcPr>
          <w:p w:rsidR="001051EE" w:rsidRPr="00AF051C" w:rsidRDefault="001051EE" w:rsidP="004A7312">
            <w:pPr>
              <w:spacing w:line="240" w:lineRule="auto"/>
              <w:rPr>
                <w:b/>
                <w:bCs/>
                <w:color w:val="000000"/>
              </w:rPr>
            </w:pPr>
          </w:p>
        </w:tc>
        <w:tc>
          <w:tcPr>
            <w:tcW w:w="0" w:type="auto"/>
            <w:gridSpan w:val="3"/>
            <w:shd w:val="clear" w:color="auto" w:fill="4F81BD" w:themeFill="accent1"/>
            <w:hideMark/>
          </w:tcPr>
          <w:p w:rsidR="001051EE" w:rsidRPr="00E97A1D" w:rsidRDefault="001051EE" w:rsidP="00AF3E90">
            <w:pPr>
              <w:spacing w:line="240" w:lineRule="auto"/>
              <w:jc w:val="center"/>
              <w:rPr>
                <w:rFonts w:cs="Arial"/>
                <w:b/>
                <w:bCs/>
                <w:color w:val="FFFFFF" w:themeColor="background1"/>
              </w:rPr>
            </w:pPr>
            <w:r w:rsidRPr="00E97A1D">
              <w:rPr>
                <w:rFonts w:cs="Arial"/>
                <w:b/>
                <w:bCs/>
                <w:color w:val="FFFFFF" w:themeColor="background1"/>
              </w:rPr>
              <w:t>Projected 201</w:t>
            </w:r>
            <w:r w:rsidR="00AF3E90">
              <w:rPr>
                <w:rFonts w:cs="Arial"/>
                <w:b/>
                <w:bCs/>
                <w:color w:val="FFFFFF" w:themeColor="background1"/>
              </w:rPr>
              <w:t>3</w:t>
            </w:r>
            <w:r w:rsidRPr="00E97A1D">
              <w:rPr>
                <w:rFonts w:cs="Arial"/>
                <w:b/>
                <w:bCs/>
                <w:color w:val="FFFFFF" w:themeColor="background1"/>
              </w:rPr>
              <w:t xml:space="preserve"> Expenditures</w:t>
            </w:r>
          </w:p>
        </w:tc>
      </w:tr>
      <w:tr w:rsidR="001051EE" w:rsidRPr="00AF051C" w:rsidTr="00351C69">
        <w:trPr>
          <w:trHeight w:hRule="exact" w:val="288"/>
          <w:jc w:val="center"/>
        </w:trPr>
        <w:tc>
          <w:tcPr>
            <w:tcW w:w="0" w:type="auto"/>
            <w:shd w:val="clear" w:color="auto" w:fill="4F81BD" w:themeFill="accent1"/>
            <w:hideMark/>
          </w:tcPr>
          <w:p w:rsidR="001051EE" w:rsidRPr="00FE1B65" w:rsidRDefault="001051EE" w:rsidP="004A7312">
            <w:pPr>
              <w:spacing w:line="240" w:lineRule="auto"/>
              <w:rPr>
                <w:b/>
                <w:color w:val="FFFFFF" w:themeColor="background1"/>
              </w:rPr>
            </w:pPr>
            <w:r w:rsidRPr="00FE1B65">
              <w:rPr>
                <w:b/>
                <w:color w:val="FFFFFF" w:themeColor="background1"/>
              </w:rPr>
              <w:t xml:space="preserve">Project </w:t>
            </w:r>
          </w:p>
        </w:tc>
        <w:tc>
          <w:tcPr>
            <w:tcW w:w="0" w:type="auto"/>
            <w:shd w:val="clear" w:color="auto" w:fill="4F81BD" w:themeFill="accent1"/>
            <w:hideMark/>
          </w:tcPr>
          <w:p w:rsidR="001051EE" w:rsidRPr="00FE1B65" w:rsidRDefault="001051EE" w:rsidP="004A7312">
            <w:pPr>
              <w:spacing w:line="240" w:lineRule="auto"/>
              <w:rPr>
                <w:b/>
                <w:bCs/>
                <w:color w:val="FFFFFF" w:themeColor="background1"/>
                <w:sz w:val="21"/>
                <w:szCs w:val="21"/>
              </w:rPr>
            </w:pPr>
            <w:r w:rsidRPr="00FE1B65">
              <w:rPr>
                <w:b/>
                <w:bCs/>
                <w:color w:val="FFFFFF" w:themeColor="background1"/>
                <w:sz w:val="21"/>
                <w:szCs w:val="21"/>
              </w:rPr>
              <w:t xml:space="preserve">Projected Contract Exp </w:t>
            </w:r>
          </w:p>
        </w:tc>
        <w:tc>
          <w:tcPr>
            <w:tcW w:w="0" w:type="auto"/>
            <w:shd w:val="clear" w:color="auto" w:fill="4F81BD" w:themeFill="accent1"/>
            <w:hideMark/>
          </w:tcPr>
          <w:p w:rsidR="001051EE" w:rsidRPr="00FE1B65" w:rsidRDefault="001051EE" w:rsidP="004A7312">
            <w:pPr>
              <w:spacing w:line="240" w:lineRule="auto"/>
              <w:rPr>
                <w:b/>
                <w:bCs/>
                <w:color w:val="FFFFFF" w:themeColor="background1"/>
                <w:sz w:val="21"/>
                <w:szCs w:val="21"/>
              </w:rPr>
            </w:pPr>
            <w:r w:rsidRPr="00FE1B65">
              <w:rPr>
                <w:b/>
                <w:bCs/>
                <w:color w:val="FFFFFF" w:themeColor="background1"/>
                <w:sz w:val="21"/>
                <w:szCs w:val="21"/>
              </w:rPr>
              <w:t xml:space="preserve">Projected WMBE  Spend </w:t>
            </w:r>
          </w:p>
        </w:tc>
        <w:tc>
          <w:tcPr>
            <w:tcW w:w="0" w:type="auto"/>
            <w:shd w:val="clear" w:color="auto" w:fill="4F81BD" w:themeFill="accent1"/>
            <w:hideMark/>
          </w:tcPr>
          <w:p w:rsidR="001051EE" w:rsidRPr="00FE1B65" w:rsidRDefault="001051EE" w:rsidP="004A7312">
            <w:pPr>
              <w:spacing w:line="240" w:lineRule="auto"/>
              <w:rPr>
                <w:b/>
                <w:bCs/>
                <w:color w:val="FFFFFF" w:themeColor="background1"/>
                <w:sz w:val="21"/>
                <w:szCs w:val="21"/>
              </w:rPr>
            </w:pPr>
            <w:r w:rsidRPr="00FE1B65">
              <w:rPr>
                <w:b/>
                <w:bCs/>
                <w:color w:val="FFFFFF" w:themeColor="background1"/>
                <w:sz w:val="21"/>
                <w:szCs w:val="21"/>
              </w:rPr>
              <w:t xml:space="preserve">Goal </w:t>
            </w:r>
          </w:p>
        </w:tc>
      </w:tr>
      <w:tr w:rsidR="00036949" w:rsidRPr="00AF051C" w:rsidTr="00351C69">
        <w:trPr>
          <w:trHeight w:hRule="exact" w:val="288"/>
          <w:jc w:val="center"/>
        </w:trPr>
        <w:tc>
          <w:tcPr>
            <w:tcW w:w="0" w:type="auto"/>
            <w:hideMark/>
          </w:tcPr>
          <w:p w:rsidR="00036949" w:rsidRPr="00AF051C" w:rsidRDefault="00036949" w:rsidP="00C7686B">
            <w:pPr>
              <w:spacing w:line="240" w:lineRule="auto"/>
            </w:pPr>
            <w:r w:rsidRPr="00AF051C">
              <w:t xml:space="preserve">First Hill Streetcar  </w:t>
            </w:r>
          </w:p>
        </w:tc>
        <w:tc>
          <w:tcPr>
            <w:tcW w:w="0" w:type="auto"/>
            <w:hideMark/>
          </w:tcPr>
          <w:p w:rsidR="00036949" w:rsidRDefault="00036949" w:rsidP="00036949">
            <w:pPr>
              <w:spacing w:line="240" w:lineRule="auto"/>
            </w:pPr>
            <w:r>
              <w:t xml:space="preserve">$1,250,000 </w:t>
            </w:r>
          </w:p>
        </w:tc>
        <w:tc>
          <w:tcPr>
            <w:tcW w:w="0" w:type="auto"/>
            <w:hideMark/>
          </w:tcPr>
          <w:p w:rsidR="00036949" w:rsidRDefault="00036949" w:rsidP="00036949">
            <w:pPr>
              <w:spacing w:line="240" w:lineRule="auto"/>
            </w:pPr>
            <w:r>
              <w:t xml:space="preserve">$312,500 </w:t>
            </w:r>
          </w:p>
        </w:tc>
        <w:tc>
          <w:tcPr>
            <w:tcW w:w="0" w:type="auto"/>
            <w:hideMark/>
          </w:tcPr>
          <w:p w:rsidR="00036949" w:rsidRDefault="00036949" w:rsidP="00036949">
            <w:pPr>
              <w:spacing w:line="240" w:lineRule="auto"/>
            </w:pPr>
            <w:r>
              <w:t>25%</w:t>
            </w:r>
          </w:p>
        </w:tc>
      </w:tr>
      <w:tr w:rsidR="00036949" w:rsidRPr="00AF051C" w:rsidTr="00351C69">
        <w:trPr>
          <w:trHeight w:hRule="exact" w:val="288"/>
          <w:jc w:val="center"/>
        </w:trPr>
        <w:tc>
          <w:tcPr>
            <w:tcW w:w="0" w:type="auto"/>
            <w:hideMark/>
          </w:tcPr>
          <w:p w:rsidR="00036949" w:rsidRPr="00AF051C" w:rsidRDefault="00036949" w:rsidP="00C7686B">
            <w:pPr>
              <w:spacing w:line="240" w:lineRule="auto"/>
            </w:pPr>
            <w:r w:rsidRPr="00AF051C">
              <w:t xml:space="preserve">Seawall  </w:t>
            </w:r>
          </w:p>
        </w:tc>
        <w:tc>
          <w:tcPr>
            <w:tcW w:w="0" w:type="auto"/>
            <w:hideMark/>
          </w:tcPr>
          <w:p w:rsidR="00036949" w:rsidRDefault="00036949" w:rsidP="00036949">
            <w:pPr>
              <w:spacing w:line="240" w:lineRule="auto"/>
            </w:pPr>
            <w:r>
              <w:t xml:space="preserve">$8,000,000 </w:t>
            </w:r>
          </w:p>
        </w:tc>
        <w:tc>
          <w:tcPr>
            <w:tcW w:w="0" w:type="auto"/>
            <w:hideMark/>
          </w:tcPr>
          <w:p w:rsidR="00036949" w:rsidRDefault="00036949" w:rsidP="00036949">
            <w:pPr>
              <w:spacing w:line="240" w:lineRule="auto"/>
            </w:pPr>
            <w:r>
              <w:t xml:space="preserve">$1,200,000 </w:t>
            </w:r>
          </w:p>
        </w:tc>
        <w:tc>
          <w:tcPr>
            <w:tcW w:w="0" w:type="auto"/>
            <w:hideMark/>
          </w:tcPr>
          <w:p w:rsidR="00036949" w:rsidRDefault="00036949" w:rsidP="00036949">
            <w:pPr>
              <w:spacing w:line="240" w:lineRule="auto"/>
            </w:pPr>
            <w:r>
              <w:t>15%</w:t>
            </w:r>
          </w:p>
        </w:tc>
      </w:tr>
      <w:tr w:rsidR="00036949" w:rsidRPr="00AF051C" w:rsidTr="00351C69">
        <w:trPr>
          <w:trHeight w:hRule="exact" w:val="288"/>
          <w:jc w:val="center"/>
        </w:trPr>
        <w:tc>
          <w:tcPr>
            <w:tcW w:w="0" w:type="auto"/>
            <w:hideMark/>
          </w:tcPr>
          <w:p w:rsidR="00036949" w:rsidRPr="00B57AF2" w:rsidRDefault="00036949" w:rsidP="00C7686B">
            <w:pPr>
              <w:spacing w:line="240" w:lineRule="auto"/>
            </w:pPr>
            <w:r w:rsidRPr="00B57AF2">
              <w:t xml:space="preserve">Waterfront  </w:t>
            </w:r>
          </w:p>
        </w:tc>
        <w:tc>
          <w:tcPr>
            <w:tcW w:w="0" w:type="auto"/>
            <w:hideMark/>
          </w:tcPr>
          <w:p w:rsidR="00036949" w:rsidRDefault="00036949" w:rsidP="00036949">
            <w:pPr>
              <w:spacing w:line="240" w:lineRule="auto"/>
            </w:pPr>
            <w:r>
              <w:t xml:space="preserve">$13,000,000 </w:t>
            </w:r>
          </w:p>
        </w:tc>
        <w:tc>
          <w:tcPr>
            <w:tcW w:w="0" w:type="auto"/>
            <w:hideMark/>
          </w:tcPr>
          <w:p w:rsidR="00036949" w:rsidRDefault="00036949" w:rsidP="00036949">
            <w:pPr>
              <w:spacing w:line="240" w:lineRule="auto"/>
            </w:pPr>
            <w:r>
              <w:t xml:space="preserve">$1,560,000 </w:t>
            </w:r>
          </w:p>
        </w:tc>
        <w:tc>
          <w:tcPr>
            <w:tcW w:w="0" w:type="auto"/>
            <w:hideMark/>
          </w:tcPr>
          <w:p w:rsidR="00036949" w:rsidRDefault="00036949" w:rsidP="00036949">
            <w:pPr>
              <w:spacing w:line="240" w:lineRule="auto"/>
            </w:pPr>
            <w:r>
              <w:t>12%</w:t>
            </w:r>
          </w:p>
        </w:tc>
      </w:tr>
      <w:tr w:rsidR="00036949" w:rsidRPr="00AF051C" w:rsidTr="00351C69">
        <w:trPr>
          <w:trHeight w:hRule="exact" w:val="288"/>
          <w:jc w:val="center"/>
        </w:trPr>
        <w:tc>
          <w:tcPr>
            <w:tcW w:w="0" w:type="auto"/>
            <w:hideMark/>
          </w:tcPr>
          <w:p w:rsidR="00036949" w:rsidRPr="00AF051C" w:rsidRDefault="00036949" w:rsidP="00C7686B">
            <w:pPr>
              <w:spacing w:line="240" w:lineRule="auto"/>
            </w:pPr>
            <w:r w:rsidRPr="00AF051C">
              <w:t xml:space="preserve">Mercer West  </w:t>
            </w:r>
          </w:p>
        </w:tc>
        <w:tc>
          <w:tcPr>
            <w:tcW w:w="0" w:type="auto"/>
            <w:hideMark/>
          </w:tcPr>
          <w:p w:rsidR="00036949" w:rsidRDefault="00036949" w:rsidP="00036949">
            <w:pPr>
              <w:spacing w:line="240" w:lineRule="auto"/>
            </w:pPr>
            <w:r>
              <w:t xml:space="preserve">$2,500,000 </w:t>
            </w:r>
          </w:p>
        </w:tc>
        <w:tc>
          <w:tcPr>
            <w:tcW w:w="0" w:type="auto"/>
            <w:hideMark/>
          </w:tcPr>
          <w:p w:rsidR="00036949" w:rsidRDefault="00036949" w:rsidP="00036949">
            <w:pPr>
              <w:spacing w:line="240" w:lineRule="auto"/>
            </w:pPr>
            <w:r>
              <w:t xml:space="preserve">$450,000 </w:t>
            </w:r>
          </w:p>
        </w:tc>
        <w:tc>
          <w:tcPr>
            <w:tcW w:w="0" w:type="auto"/>
            <w:hideMark/>
          </w:tcPr>
          <w:p w:rsidR="00036949" w:rsidRDefault="00036949" w:rsidP="00036949">
            <w:pPr>
              <w:spacing w:line="240" w:lineRule="auto"/>
            </w:pPr>
            <w:r>
              <w:t>18%</w:t>
            </w:r>
          </w:p>
        </w:tc>
      </w:tr>
      <w:tr w:rsidR="00036949" w:rsidRPr="0059158B" w:rsidTr="00FE1B65">
        <w:trPr>
          <w:trHeight w:val="360"/>
          <w:jc w:val="center"/>
        </w:trPr>
        <w:tc>
          <w:tcPr>
            <w:tcW w:w="0" w:type="auto"/>
            <w:hideMark/>
          </w:tcPr>
          <w:p w:rsidR="00036949" w:rsidRPr="0059158B" w:rsidRDefault="00036949" w:rsidP="00307403">
            <w:pPr>
              <w:spacing w:after="0" w:line="240" w:lineRule="auto"/>
              <w:rPr>
                <w:b/>
                <w:i/>
              </w:rPr>
            </w:pPr>
            <w:r w:rsidRPr="0059158B">
              <w:rPr>
                <w:b/>
                <w:i/>
              </w:rPr>
              <w:t xml:space="preserve">Total  </w:t>
            </w:r>
          </w:p>
        </w:tc>
        <w:tc>
          <w:tcPr>
            <w:tcW w:w="0" w:type="auto"/>
            <w:hideMark/>
          </w:tcPr>
          <w:p w:rsidR="00036949" w:rsidRDefault="00036949" w:rsidP="00307403">
            <w:pPr>
              <w:spacing w:after="0" w:line="240" w:lineRule="auto"/>
              <w:rPr>
                <w:b/>
                <w:bCs/>
                <w:i/>
                <w:iCs/>
              </w:rPr>
            </w:pPr>
            <w:r>
              <w:rPr>
                <w:b/>
                <w:bCs/>
                <w:i/>
                <w:iCs/>
              </w:rPr>
              <w:t xml:space="preserve">$24,750,000 </w:t>
            </w:r>
          </w:p>
        </w:tc>
        <w:tc>
          <w:tcPr>
            <w:tcW w:w="0" w:type="auto"/>
            <w:hideMark/>
          </w:tcPr>
          <w:p w:rsidR="00036949" w:rsidRDefault="00036949" w:rsidP="00307403">
            <w:pPr>
              <w:spacing w:after="0" w:line="240" w:lineRule="auto"/>
              <w:rPr>
                <w:b/>
                <w:bCs/>
                <w:i/>
                <w:iCs/>
              </w:rPr>
            </w:pPr>
            <w:r>
              <w:rPr>
                <w:b/>
                <w:bCs/>
                <w:i/>
                <w:iCs/>
              </w:rPr>
              <w:t xml:space="preserve">$3,522,500 </w:t>
            </w:r>
          </w:p>
        </w:tc>
        <w:tc>
          <w:tcPr>
            <w:tcW w:w="0" w:type="auto"/>
            <w:hideMark/>
          </w:tcPr>
          <w:p w:rsidR="00036949" w:rsidRDefault="00036949" w:rsidP="00307403">
            <w:pPr>
              <w:spacing w:after="0" w:line="240" w:lineRule="auto"/>
              <w:rPr>
                <w:b/>
                <w:bCs/>
                <w:i/>
                <w:iCs/>
              </w:rPr>
            </w:pPr>
            <w:r>
              <w:rPr>
                <w:b/>
                <w:bCs/>
                <w:i/>
                <w:iCs/>
              </w:rPr>
              <w:t>14.23%</w:t>
            </w:r>
          </w:p>
        </w:tc>
      </w:tr>
    </w:tbl>
    <w:p w:rsidR="00263AAB" w:rsidRPr="00AE37B3" w:rsidRDefault="00116051" w:rsidP="00AA0D84">
      <w:pPr>
        <w:pStyle w:val="Heading2"/>
      </w:pPr>
      <w:r w:rsidRPr="00AE37B3">
        <w:t>Construction Contracts</w:t>
      </w:r>
    </w:p>
    <w:p w:rsidR="00AE37B3" w:rsidRDefault="00263AAB" w:rsidP="00AE37B3">
      <w:r w:rsidRPr="00AE37B3">
        <w:t>SDOT hires contractors to perfo</w:t>
      </w:r>
      <w:r w:rsidR="00CF6B5F" w:rsidRPr="00AE37B3">
        <w:t>rm construction services for transportation capital improvement and maintenance</w:t>
      </w:r>
      <w:r w:rsidRPr="00AE37B3">
        <w:t xml:space="preserve">. </w:t>
      </w:r>
      <w:r w:rsidR="00AE37B3">
        <w:t xml:space="preserve"> The graph below illustrates SDOT’s WMBE utilization on construction projects</w:t>
      </w:r>
      <w:r w:rsidR="008A758C">
        <w:t xml:space="preserve"> </w:t>
      </w:r>
      <w:r w:rsidR="001A33E1">
        <w:t>from 2004 to 2012</w:t>
      </w:r>
      <w:r w:rsidR="00AE37B3">
        <w:t xml:space="preserve">. </w:t>
      </w:r>
    </w:p>
    <w:p w:rsidR="00C54C9E" w:rsidRPr="00FB4CFC" w:rsidRDefault="00C54C9E" w:rsidP="00C54C9E">
      <w:pPr>
        <w:jc w:val="center"/>
      </w:pPr>
      <w:r>
        <w:rPr>
          <w:b/>
        </w:rPr>
        <w:t>Figure 2</w:t>
      </w:r>
      <w:r w:rsidRPr="00283599">
        <w:rPr>
          <w:b/>
        </w:rPr>
        <w:t xml:space="preserve"> </w:t>
      </w:r>
      <w:r w:rsidRPr="00283599">
        <w:rPr>
          <w:b/>
          <w:color w:val="000000" w:themeColor="text1"/>
        </w:rPr>
        <w:t xml:space="preserve">– </w:t>
      </w:r>
      <w:r>
        <w:rPr>
          <w:b/>
        </w:rPr>
        <w:t>Public Works WMBE Utilization</w:t>
      </w:r>
    </w:p>
    <w:p w:rsidR="00263AAB" w:rsidRDefault="00AE37B3" w:rsidP="00B23280">
      <w:pPr>
        <w:jc w:val="center"/>
      </w:pPr>
      <w:r>
        <w:rPr>
          <w:noProof/>
        </w:rPr>
        <w:drawing>
          <wp:inline distT="0" distB="0" distL="0" distR="0">
            <wp:extent cx="5045010" cy="1619250"/>
            <wp:effectExtent l="19050" t="0" r="32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045010" cy="1619250"/>
                    </a:xfrm>
                    <a:prstGeom prst="rect">
                      <a:avLst/>
                    </a:prstGeom>
                    <a:noFill/>
                    <a:ln w="9525">
                      <a:noFill/>
                      <a:miter lim="800000"/>
                      <a:headEnd/>
                      <a:tailEnd/>
                    </a:ln>
                  </pic:spPr>
                </pic:pic>
              </a:graphicData>
            </a:graphic>
          </wp:inline>
        </w:drawing>
      </w:r>
    </w:p>
    <w:p w:rsidR="001B333E" w:rsidRPr="001B333E" w:rsidRDefault="001B333E" w:rsidP="00AA0D84">
      <w:pPr>
        <w:pStyle w:val="Heading3"/>
      </w:pPr>
      <w:r w:rsidRPr="001B333E">
        <w:lastRenderedPageBreak/>
        <w:t xml:space="preserve">Construction </w:t>
      </w:r>
      <w:r w:rsidR="00AA0D84">
        <w:t>Strategies</w:t>
      </w:r>
      <w:r w:rsidR="00AA0D84" w:rsidRPr="008348CD">
        <w:t xml:space="preserve"> and Efforts in Outreach</w:t>
      </w:r>
      <w:r w:rsidR="00AA0D84">
        <w:t xml:space="preserve">  </w:t>
      </w:r>
    </w:p>
    <w:p w:rsidR="0039746B" w:rsidRDefault="0039746B" w:rsidP="007A5460">
      <w:r w:rsidRPr="0039746B">
        <w:rPr>
          <w:b/>
          <w:i/>
        </w:rPr>
        <w:t>The</w:t>
      </w:r>
      <w:r w:rsidRPr="008A758C">
        <w:rPr>
          <w:b/>
          <w:i/>
        </w:rPr>
        <w:t xml:space="preserve"> </w:t>
      </w:r>
      <w:r w:rsidR="0042122F" w:rsidRPr="008A758C">
        <w:rPr>
          <w:b/>
          <w:i/>
        </w:rPr>
        <w:t>Elliott</w:t>
      </w:r>
      <w:r w:rsidR="008A758C">
        <w:rPr>
          <w:b/>
          <w:i/>
        </w:rPr>
        <w:t xml:space="preserve"> </w:t>
      </w:r>
      <w:r w:rsidR="00F02FE1">
        <w:rPr>
          <w:b/>
          <w:i/>
        </w:rPr>
        <w:t>Bay Seawall project will be a</w:t>
      </w:r>
      <w:r w:rsidRPr="0039746B">
        <w:rPr>
          <w:b/>
          <w:i/>
        </w:rPr>
        <w:t xml:space="preserve"> focus for </w:t>
      </w:r>
      <w:r>
        <w:rPr>
          <w:b/>
          <w:i/>
        </w:rPr>
        <w:t xml:space="preserve">SDOT and </w:t>
      </w:r>
      <w:r w:rsidRPr="0039746B">
        <w:rPr>
          <w:b/>
          <w:i/>
        </w:rPr>
        <w:t xml:space="preserve">WMBE participation </w:t>
      </w:r>
      <w:r w:rsidR="00F02FE1">
        <w:rPr>
          <w:b/>
          <w:i/>
        </w:rPr>
        <w:t>in</w:t>
      </w:r>
      <w:r w:rsidRPr="0039746B">
        <w:rPr>
          <w:b/>
          <w:i/>
        </w:rPr>
        <w:t xml:space="preserve"> 2013.</w:t>
      </w:r>
      <w:r w:rsidRPr="0039746B">
        <w:rPr>
          <w:i/>
        </w:rPr>
        <w:t xml:space="preserve"> </w:t>
      </w:r>
      <w:r w:rsidR="00F02FE1">
        <w:t xml:space="preserve">The Seawall project is one of the </w:t>
      </w:r>
      <w:r w:rsidRPr="00FB4138">
        <w:t xml:space="preserve">largest Public Works projects ever delivered in the region. The prime GC/CM contractor Mortenson /Manson along with support from FAS and SDOT have already developed a Social Equity/Inclusion Plan. This plan will guide the prime </w:t>
      </w:r>
      <w:r w:rsidR="00F02FE1">
        <w:t xml:space="preserve">contractor </w:t>
      </w:r>
      <w:r w:rsidRPr="00FB4138">
        <w:t>in achieving a minimum 13% WMBE inclusion for the project</w:t>
      </w:r>
      <w:r w:rsidRPr="0039746B">
        <w:rPr>
          <w:b/>
        </w:rPr>
        <w:t xml:space="preserve">. </w:t>
      </w:r>
      <w:r>
        <w:t xml:space="preserve"> SDOT representative Bobby Forch will be participating in weekly meeting with FAS </w:t>
      </w:r>
      <w:r w:rsidR="00F02FE1">
        <w:t>and</w:t>
      </w:r>
      <w:r>
        <w:t xml:space="preserve"> M</w:t>
      </w:r>
      <w:r w:rsidR="00F02FE1">
        <w:t xml:space="preserve">ortenson/Manson to help identify capacity for specific bid packages and monitor short-and long-term strategies. </w:t>
      </w:r>
    </w:p>
    <w:p w:rsidR="00AE37B3" w:rsidRPr="00FB4138" w:rsidRDefault="0039746B" w:rsidP="007A5460">
      <w:r w:rsidRPr="0039746B">
        <w:rPr>
          <w:b/>
          <w:i/>
        </w:rPr>
        <w:t xml:space="preserve">SDOT </w:t>
      </w:r>
      <w:r w:rsidR="00F02FE1">
        <w:rPr>
          <w:b/>
          <w:i/>
        </w:rPr>
        <w:t xml:space="preserve">has been working with FAS to update </w:t>
      </w:r>
      <w:r w:rsidRPr="0039746B">
        <w:rPr>
          <w:b/>
          <w:i/>
        </w:rPr>
        <w:t>the</w:t>
      </w:r>
      <w:r w:rsidR="00AE37B3" w:rsidRPr="0039746B">
        <w:rPr>
          <w:b/>
          <w:i/>
        </w:rPr>
        <w:t xml:space="preserve"> </w:t>
      </w:r>
      <w:r w:rsidR="00AA0D84" w:rsidRPr="0039746B">
        <w:rPr>
          <w:b/>
          <w:i/>
        </w:rPr>
        <w:t>c</w:t>
      </w:r>
      <w:r w:rsidRPr="0039746B">
        <w:rPr>
          <w:b/>
          <w:i/>
        </w:rPr>
        <w:t xml:space="preserve">ity’s new Inclusion Plan and anticipates </w:t>
      </w:r>
      <w:r w:rsidR="00AE37B3" w:rsidRPr="0039746B">
        <w:rPr>
          <w:b/>
          <w:i/>
        </w:rPr>
        <w:t>increase</w:t>
      </w:r>
      <w:r w:rsidR="00F02FE1">
        <w:rPr>
          <w:b/>
          <w:i/>
        </w:rPr>
        <w:t xml:space="preserve">d SDOT WMBE </w:t>
      </w:r>
      <w:r w:rsidR="00AE37B3" w:rsidRPr="0039746B">
        <w:rPr>
          <w:b/>
          <w:i/>
        </w:rPr>
        <w:t xml:space="preserve">inclusion </w:t>
      </w:r>
      <w:r w:rsidR="00F02FE1">
        <w:rPr>
          <w:b/>
          <w:i/>
        </w:rPr>
        <w:t>as a result</w:t>
      </w:r>
      <w:r w:rsidR="00AE37B3" w:rsidRPr="0039746B">
        <w:rPr>
          <w:b/>
          <w:i/>
        </w:rPr>
        <w:t xml:space="preserve">. </w:t>
      </w:r>
      <w:r w:rsidRPr="0039746B">
        <w:rPr>
          <w:b/>
          <w:i/>
        </w:rPr>
        <w:t xml:space="preserve"> One change </w:t>
      </w:r>
      <w:r w:rsidR="00F02FE1">
        <w:rPr>
          <w:b/>
          <w:i/>
        </w:rPr>
        <w:t xml:space="preserve">made to the Inclusion Plan is that </w:t>
      </w:r>
      <w:r w:rsidRPr="0039746B">
        <w:rPr>
          <w:b/>
          <w:i/>
        </w:rPr>
        <w:t xml:space="preserve">WMBE primes will be able to count any work they perform over the mandatory 30% requirement. </w:t>
      </w:r>
      <w:r w:rsidRPr="00D51E63">
        <w:t xml:space="preserve">A new mentoring guarantee provision in the Inclusion Plan should </w:t>
      </w:r>
      <w:r w:rsidR="00F02FE1">
        <w:t>increase</w:t>
      </w:r>
      <w:r w:rsidRPr="00D51E63">
        <w:t xml:space="preserve"> the number of new WMBE firms on SDOT projects. </w:t>
      </w:r>
      <w:r w:rsidR="00AE37B3" w:rsidRPr="00D51E63">
        <w:t>SDOT will continue to work with FAS to ensure contractors meet this new requirement.  A SDOT representative will continue to meet with local associations including,</w:t>
      </w:r>
      <w:r w:rsidR="00AE37B3" w:rsidRPr="00D51E63">
        <w:rPr>
          <w:color w:val="000000"/>
        </w:rPr>
        <w:t xml:space="preserve"> The Community Coalition for Contracts and Jobs (</w:t>
      </w:r>
      <w:r w:rsidR="00AE37B3" w:rsidRPr="00D51E63">
        <w:rPr>
          <w:bCs/>
          <w:color w:val="000000"/>
        </w:rPr>
        <w:t>CCCJ</w:t>
      </w:r>
      <w:r w:rsidR="00AE37B3" w:rsidRPr="00D51E63">
        <w:rPr>
          <w:color w:val="000000"/>
        </w:rPr>
        <w:t xml:space="preserve">) and Nation Association of Minority Contractors (NAMC).  SDOT will also work </w:t>
      </w:r>
      <w:r w:rsidR="001A33E1">
        <w:rPr>
          <w:color w:val="000000"/>
        </w:rPr>
        <w:t xml:space="preserve">with </w:t>
      </w:r>
      <w:r w:rsidR="00AE37B3" w:rsidRPr="00D51E63">
        <w:rPr>
          <w:color w:val="000000"/>
        </w:rPr>
        <w:t xml:space="preserve">FAS in support of the Washington State Department of Transportation’s Disparity Study.  The study will support WSDOT’s </w:t>
      </w:r>
      <w:r w:rsidR="00AE37B3" w:rsidRPr="00D51E63">
        <w:rPr>
          <w:rStyle w:val="Emphasis"/>
          <w:rFonts w:cs="Arial"/>
        </w:rPr>
        <w:t xml:space="preserve">ability to set goals for </w:t>
      </w:r>
      <w:r w:rsidR="00AE37B3" w:rsidRPr="00D51E63">
        <w:t>Disadvantage Business Enterpris</w:t>
      </w:r>
      <w:r w:rsidR="00961DC1" w:rsidRPr="00D51E63">
        <w:t>es (DBE) on c</w:t>
      </w:r>
      <w:r w:rsidR="00AE37B3" w:rsidRPr="00D51E63">
        <w:t>ity projects.</w:t>
      </w:r>
      <w:r w:rsidR="00AE37B3" w:rsidRPr="00FB4138">
        <w:t xml:space="preserve">  </w:t>
      </w:r>
    </w:p>
    <w:p w:rsidR="00717BDA" w:rsidRDefault="00717BDA" w:rsidP="00717BDA">
      <w:r w:rsidRPr="007A5460">
        <w:t>SDOT will continue to work with FAS and other city dep</w:t>
      </w:r>
      <w:r w:rsidR="00961DC1">
        <w:t xml:space="preserve">artments to </w:t>
      </w:r>
      <w:r w:rsidR="00EF5000">
        <w:t xml:space="preserve">connect successful city </w:t>
      </w:r>
      <w:r w:rsidR="00961DC1">
        <w:t>prime</w:t>
      </w:r>
      <w:r w:rsidRPr="007A5460">
        <w:t xml:space="preserve"> contractors </w:t>
      </w:r>
      <w:r w:rsidR="00EF5000">
        <w:t>and WMBE sub</w:t>
      </w:r>
      <w:r w:rsidR="007435FD">
        <w:t>-</w:t>
      </w:r>
      <w:r w:rsidR="00EF5000">
        <w:t xml:space="preserve">contractors to build relationships. </w:t>
      </w:r>
    </w:p>
    <w:p w:rsidR="00AE37B3" w:rsidRPr="00AA0D84" w:rsidRDefault="00AE37B3" w:rsidP="00AA0D84">
      <w:pPr>
        <w:pStyle w:val="Heading2"/>
      </w:pPr>
      <w:r w:rsidRPr="00AA0D84">
        <w:t>Job Order Contracting (J</w:t>
      </w:r>
      <w:r w:rsidR="007A5460">
        <w:t>OC)</w:t>
      </w:r>
    </w:p>
    <w:p w:rsidR="00AE37B3" w:rsidRPr="00FB4CFC" w:rsidRDefault="0039746B" w:rsidP="007A5460">
      <w:pPr>
        <w:rPr>
          <w:highlight w:val="yellow"/>
        </w:rPr>
      </w:pPr>
      <w:r>
        <w:t xml:space="preserve">SDOT will continue to pursue JOC </w:t>
      </w:r>
      <w:r w:rsidR="00AE37B3" w:rsidRPr="007A5460">
        <w:t>opportunities for</w:t>
      </w:r>
      <w:r w:rsidR="008C337B">
        <w:t xml:space="preserve"> projects of t</w:t>
      </w:r>
      <w:r>
        <w:t xml:space="preserve">hree hundred thousand </w:t>
      </w:r>
      <w:r w:rsidR="008C337B">
        <w:t xml:space="preserve">dollars </w:t>
      </w:r>
      <w:r>
        <w:t>or less ($300,000).</w:t>
      </w:r>
      <w:r w:rsidR="00AE37B3" w:rsidRPr="007A5460">
        <w:t xml:space="preserve"> The program requires 90% of the work be sub</w:t>
      </w:r>
      <w:r w:rsidR="007435FD">
        <w:t>-</w:t>
      </w:r>
      <w:r w:rsidR="00AE37B3" w:rsidRPr="007A5460">
        <w:t xml:space="preserve">contracted. </w:t>
      </w:r>
      <w:r w:rsidR="00AE37B3" w:rsidRPr="007A5460">
        <w:rPr>
          <w:color w:val="000000"/>
        </w:rPr>
        <w:t>SDOT believes this contracting method will provide WMBE contractors opportunity to construct small projects, such as blocks of sidewalk and traffic circles as part of the Department’s BTG initiative.</w:t>
      </w:r>
    </w:p>
    <w:p w:rsidR="007A5460" w:rsidRDefault="00AE37B3" w:rsidP="00AA0D84">
      <w:pPr>
        <w:pStyle w:val="Heading2"/>
      </w:pPr>
      <w:r w:rsidRPr="00AA0D84">
        <w:t xml:space="preserve"> City’s New Construction Inclusion</w:t>
      </w:r>
      <w:r w:rsidR="007A5460">
        <w:t xml:space="preserve"> Plan</w:t>
      </w:r>
    </w:p>
    <w:p w:rsidR="00AE37B3" w:rsidRDefault="007A5460" w:rsidP="000D751C">
      <w:pPr>
        <w:spacing w:after="100"/>
      </w:pPr>
      <w:r w:rsidRPr="00856580">
        <w:t>SD</w:t>
      </w:r>
      <w:r w:rsidR="0039746B">
        <w:t xml:space="preserve">OT </w:t>
      </w:r>
      <w:r w:rsidR="00856580" w:rsidRPr="00856580">
        <w:t>continue</w:t>
      </w:r>
      <w:r w:rsidR="0039746B">
        <w:t>s</w:t>
      </w:r>
      <w:r w:rsidR="00856580" w:rsidRPr="00856580">
        <w:t xml:space="preserve"> to </w:t>
      </w:r>
      <w:r w:rsidR="00AE37B3" w:rsidRPr="00856580">
        <w:t>work with FAS</w:t>
      </w:r>
      <w:r w:rsidR="00856580">
        <w:t xml:space="preserve"> to</w:t>
      </w:r>
      <w:r w:rsidR="00AE37B3" w:rsidRPr="00856580">
        <w:t xml:space="preserve"> </w:t>
      </w:r>
      <w:r w:rsidR="00856580">
        <w:t xml:space="preserve">improve policies related to the new </w:t>
      </w:r>
      <w:r w:rsidR="00AE37B3" w:rsidRPr="00856580">
        <w:t>“Inclusion Plan” on each construction project</w:t>
      </w:r>
      <w:r w:rsidR="00AE37B3" w:rsidRPr="00856580">
        <w:rPr>
          <w:b/>
        </w:rPr>
        <w:t xml:space="preserve">. </w:t>
      </w:r>
      <w:r w:rsidR="0039746B">
        <w:rPr>
          <w:b/>
        </w:rPr>
        <w:t xml:space="preserve"> </w:t>
      </w:r>
      <w:r w:rsidR="0039746B" w:rsidRPr="00A452AE">
        <w:rPr>
          <w:b/>
          <w:i/>
        </w:rPr>
        <w:t xml:space="preserve">For 2013 several new provisions should assist in raising WMBE inclusion. </w:t>
      </w:r>
      <w:r w:rsidR="00A77867" w:rsidRPr="00A452AE">
        <w:rPr>
          <w:b/>
          <w:i/>
        </w:rPr>
        <w:t xml:space="preserve"> These provisions include </w:t>
      </w:r>
      <w:r w:rsidR="0039746B" w:rsidRPr="00A452AE">
        <w:rPr>
          <w:b/>
          <w:i/>
        </w:rPr>
        <w:t>raising the Performance Measure from 9.7% to 12%, allowing</w:t>
      </w:r>
      <w:r w:rsidR="00EA2874" w:rsidRPr="00A452AE">
        <w:rPr>
          <w:b/>
          <w:i/>
        </w:rPr>
        <w:t xml:space="preserve"> </w:t>
      </w:r>
      <w:r w:rsidR="0039746B" w:rsidRPr="00A452AE">
        <w:rPr>
          <w:b/>
          <w:i/>
        </w:rPr>
        <w:t xml:space="preserve">WMBE primes to count any self performance over the 30% requirement and a new mentoring guarantee provision. </w:t>
      </w:r>
      <w:r w:rsidR="0039746B">
        <w:t>These updates should</w:t>
      </w:r>
      <w:r w:rsidR="00EA2874">
        <w:t xml:space="preserve"> create greater WMBE benefits on construction projects.</w:t>
      </w:r>
    </w:p>
    <w:p w:rsidR="00221548" w:rsidRPr="00E76A5D" w:rsidRDefault="00221548" w:rsidP="006E661B">
      <w:pPr>
        <w:pStyle w:val="Heading1"/>
        <w:spacing w:before="300"/>
      </w:pPr>
      <w:r w:rsidRPr="00E76A5D">
        <w:t>Outreach Efforts and Strategies</w:t>
      </w:r>
    </w:p>
    <w:p w:rsidR="00221548" w:rsidRDefault="00221548" w:rsidP="00221548">
      <w:r w:rsidRPr="00E76A5D">
        <w:t xml:space="preserve">SDOT’s 2013 Outreach Plan is based on the results of 2012 outreach efforts and anticipated 2013 department spending. The following describes these successes and presents strategies to move SDOT forward in 2013. </w:t>
      </w:r>
    </w:p>
    <w:p w:rsidR="00221548" w:rsidRDefault="00221548" w:rsidP="00221548">
      <w:pPr>
        <w:pStyle w:val="Heading2"/>
      </w:pPr>
      <w:r w:rsidRPr="005E3267">
        <w:t xml:space="preserve">Training </w:t>
      </w:r>
    </w:p>
    <w:p w:rsidR="00221548" w:rsidRPr="005E3267" w:rsidRDefault="00221548" w:rsidP="00221548">
      <w:pPr>
        <w:rPr>
          <w:bCs/>
          <w:color w:val="FF0000"/>
        </w:rPr>
      </w:pPr>
      <w:r w:rsidRPr="005E3267">
        <w:t>In 2013</w:t>
      </w:r>
      <w:r w:rsidR="008C337B">
        <w:t>,</w:t>
      </w:r>
      <w:r w:rsidRPr="005E3267">
        <w:t xml:space="preserve"> SDOT will provide procurement training for staff responsible for making purchases.  Training includes PowerPoint presentations by </w:t>
      </w:r>
      <w:r w:rsidR="008C337B">
        <w:t>c</w:t>
      </w:r>
      <w:r w:rsidRPr="005E3267">
        <w:t>ity staff</w:t>
      </w:r>
      <w:r>
        <w:t xml:space="preserve"> member. </w:t>
      </w:r>
      <w:r w:rsidRPr="005E3267">
        <w:t>In addition, SDOT staff responsible for purchasing goods and services will be asked to utilize resources such as the (VCR)</w:t>
      </w:r>
      <w:r>
        <w:t xml:space="preserve"> database system to locate WMBE</w:t>
      </w:r>
      <w:r w:rsidRPr="005E3267">
        <w:t xml:space="preserve"> businesses that may provided the desired goods/services. </w:t>
      </w:r>
      <w:r w:rsidRPr="005E3267">
        <w:rPr>
          <w:bCs/>
        </w:rPr>
        <w:t xml:space="preserve"> SDOT will also continue to work with FAS to identify vendors in the</w:t>
      </w:r>
      <w:r>
        <w:rPr>
          <w:bCs/>
        </w:rPr>
        <w:t xml:space="preserve"> areas where there are no WMBE</w:t>
      </w:r>
      <w:r w:rsidRPr="005E3267">
        <w:rPr>
          <w:bCs/>
        </w:rPr>
        <w:t xml:space="preserve"> firms. To date</w:t>
      </w:r>
      <w:r w:rsidR="008C337B">
        <w:rPr>
          <w:bCs/>
        </w:rPr>
        <w:t>,</w:t>
      </w:r>
      <w:r w:rsidRPr="005E3267">
        <w:rPr>
          <w:bCs/>
        </w:rPr>
        <w:t xml:space="preserve"> SDOT has trained approximately 1</w:t>
      </w:r>
      <w:r>
        <w:rPr>
          <w:bCs/>
        </w:rPr>
        <w:t>50</w:t>
      </w:r>
      <w:r w:rsidRPr="005E3267">
        <w:rPr>
          <w:bCs/>
        </w:rPr>
        <w:t xml:space="preserve"> staff members. </w:t>
      </w:r>
    </w:p>
    <w:p w:rsidR="00221548" w:rsidRPr="005E3267" w:rsidRDefault="00221548" w:rsidP="00077EB2">
      <w:pPr>
        <w:spacing w:after="100"/>
      </w:pPr>
      <w:r w:rsidRPr="005E3267">
        <w:lastRenderedPageBreak/>
        <w:t xml:space="preserve">SDOT will continue to work with FAS in the early stages of the bidding process for all other SDOT projects </w:t>
      </w:r>
      <w:r>
        <w:t>to ensure maximum WMBE</w:t>
      </w:r>
      <w:r w:rsidR="008C337B">
        <w:t xml:space="preserve"> participation for the c</w:t>
      </w:r>
      <w:r w:rsidRPr="005E3267">
        <w:t>ity’s bidding process.  Director Peter Hahn</w:t>
      </w:r>
      <w:r>
        <w:t xml:space="preserve"> will continue to make WMBE</w:t>
      </w:r>
      <w:r w:rsidRPr="005E3267">
        <w:t xml:space="preserve"> utilization goals a high priority by communicating timely messages to all SDOT employees and by making equality in contracting a part of each Division Director’s accountability.  </w:t>
      </w:r>
    </w:p>
    <w:p w:rsidR="007A5460" w:rsidRPr="00E97A1D" w:rsidRDefault="007A5460" w:rsidP="006E661B">
      <w:pPr>
        <w:pStyle w:val="Heading1"/>
        <w:spacing w:before="300" w:line="240" w:lineRule="auto"/>
        <w:rPr>
          <w:rFonts w:asciiTheme="minorHAnsi" w:hAnsiTheme="minorHAnsi" w:cstheme="minorBidi"/>
        </w:rPr>
      </w:pPr>
      <w:r w:rsidRPr="00E97A1D">
        <w:t>Community Outreach Efforts</w:t>
      </w:r>
    </w:p>
    <w:p w:rsidR="007A5460" w:rsidRPr="00916849" w:rsidRDefault="00A452AE" w:rsidP="007A5460">
      <w:pPr>
        <w:rPr>
          <w:rFonts w:ascii="Arial" w:hAnsi="Arial" w:cs="Arial"/>
        </w:rPr>
      </w:pPr>
      <w:r>
        <w:t>In 2012</w:t>
      </w:r>
      <w:r w:rsidR="008C337B">
        <w:t>,</w:t>
      </w:r>
      <w:r w:rsidR="007A5460" w:rsidRPr="00916849">
        <w:t xml:space="preserve"> a SDOT representative attended </w:t>
      </w:r>
      <w:r>
        <w:t xml:space="preserve">monthly </w:t>
      </w:r>
      <w:r w:rsidR="007A5460" w:rsidRPr="00916849">
        <w:t>community meeting</w:t>
      </w:r>
      <w:r>
        <w:t>s</w:t>
      </w:r>
      <w:r w:rsidR="007A5460" w:rsidRPr="00916849">
        <w:t xml:space="preserve"> including Tabor 100, C</w:t>
      </w:r>
      <w:r>
        <w:t>ommunity Coalition for Contracting Jobs (C</w:t>
      </w:r>
      <w:r w:rsidR="007A5460" w:rsidRPr="00916849">
        <w:t>CCJ</w:t>
      </w:r>
      <w:r>
        <w:t>)</w:t>
      </w:r>
      <w:r w:rsidR="007A5460" w:rsidRPr="00916849">
        <w:t>, N</w:t>
      </w:r>
      <w:r>
        <w:t xml:space="preserve">ational </w:t>
      </w:r>
      <w:r w:rsidR="007A5460" w:rsidRPr="00916849">
        <w:t>A</w:t>
      </w:r>
      <w:r>
        <w:t xml:space="preserve">ssociation of </w:t>
      </w:r>
      <w:r w:rsidR="007A5460" w:rsidRPr="00916849">
        <w:t>M</w:t>
      </w:r>
      <w:r>
        <w:t xml:space="preserve">inority </w:t>
      </w:r>
      <w:r w:rsidR="007A5460" w:rsidRPr="00916849">
        <w:t>C</w:t>
      </w:r>
      <w:r>
        <w:t>ontractors (NAMC)</w:t>
      </w:r>
      <w:r w:rsidR="008C337B">
        <w:t xml:space="preserve"> as well as</w:t>
      </w:r>
      <w:r>
        <w:t xml:space="preserve"> meeting with </w:t>
      </w:r>
      <w:r w:rsidR="007A5460" w:rsidRPr="00916849">
        <w:t>individual WMBE consultant and contractors</w:t>
      </w:r>
      <w:r w:rsidR="007A5460" w:rsidRPr="00916849">
        <w:rPr>
          <w:rFonts w:ascii="Arial" w:hAnsi="Arial" w:cs="Arial"/>
        </w:rPr>
        <w:t xml:space="preserve">.  </w:t>
      </w:r>
      <w:r w:rsidR="007A5460" w:rsidRPr="00916849">
        <w:t>In addition</w:t>
      </w:r>
      <w:r>
        <w:t>,</w:t>
      </w:r>
      <w:r w:rsidR="007A5460" w:rsidRPr="00916849">
        <w:t xml:space="preserve"> SDOT participated in Vendor Trade Shows like the Regional Contracting Forum, Nor</w:t>
      </w:r>
      <w:r>
        <w:t>thwest Minority Showcase and city sponsored Meet and Greet</w:t>
      </w:r>
      <w:r w:rsidR="007A5460" w:rsidRPr="00916849">
        <w:t>.</w:t>
      </w:r>
      <w:r w:rsidR="007A5460" w:rsidRPr="00916849">
        <w:rPr>
          <w:rFonts w:ascii="Arial" w:hAnsi="Arial" w:cs="Arial"/>
        </w:rPr>
        <w:t xml:space="preserve"> </w:t>
      </w:r>
      <w:r w:rsidR="007A5460" w:rsidRPr="00916849">
        <w:t>SDOT will make the following measurable efforts in 2013 to reach out to small and historically underutilized businesses (WMBEs).</w:t>
      </w:r>
    </w:p>
    <w:p w:rsidR="007A5460" w:rsidRPr="00C93687" w:rsidRDefault="00A452AE" w:rsidP="007A5460">
      <w:pPr>
        <w:pStyle w:val="Heading2"/>
      </w:pPr>
      <w:r>
        <w:t xml:space="preserve">Department Meet and Greets and Pre-construction Meetings </w:t>
      </w:r>
    </w:p>
    <w:p w:rsidR="007A5460" w:rsidRPr="00C93687" w:rsidRDefault="00A452AE" w:rsidP="007A5460">
      <w:r>
        <w:t xml:space="preserve">The Department </w:t>
      </w:r>
      <w:r w:rsidR="007A5460" w:rsidRPr="00C93687">
        <w:t xml:space="preserve">will </w:t>
      </w:r>
      <w:r w:rsidR="00C93687" w:rsidRPr="00C93687">
        <w:t xml:space="preserve">commit to holding </w:t>
      </w:r>
      <w:r>
        <w:t xml:space="preserve">at least </w:t>
      </w:r>
      <w:r w:rsidR="00401DEE" w:rsidRPr="00C93687">
        <w:t>one</w:t>
      </w:r>
      <w:r w:rsidR="007A5460" w:rsidRPr="00C93687">
        <w:rPr>
          <w:b/>
        </w:rPr>
        <w:t xml:space="preserve"> </w:t>
      </w:r>
      <w:r w:rsidR="007A5460" w:rsidRPr="00C93687">
        <w:t>(</w:t>
      </w:r>
      <w:r w:rsidR="00401DEE" w:rsidRPr="00C93687">
        <w:t>1</w:t>
      </w:r>
      <w:r>
        <w:t>) “Meet &amp; Greet</w:t>
      </w:r>
      <w:r w:rsidR="008C337B">
        <w:t>” with local c</w:t>
      </w:r>
      <w:r w:rsidR="007A5460" w:rsidRPr="00C93687">
        <w:t xml:space="preserve">ity business groups and associations including Tabor 100 and Affinity Chambers.  </w:t>
      </w:r>
      <w:r>
        <w:t xml:space="preserve"> In, addition SDOT will schedule pre-construction and pre-bid meetings to give WMBEs the most timely information regarding time, cost and scope. </w:t>
      </w:r>
      <w:r w:rsidR="007A5460" w:rsidRPr="00C93687">
        <w:t xml:space="preserve">These networking sessions have already yielded numerous contracts with WMBE firms. </w:t>
      </w:r>
    </w:p>
    <w:p w:rsidR="007A5460" w:rsidRPr="00916849" w:rsidRDefault="007A5460" w:rsidP="007A5460">
      <w:pPr>
        <w:pStyle w:val="Heading2"/>
      </w:pPr>
      <w:r w:rsidRPr="00916849">
        <w:t>V</w:t>
      </w:r>
      <w:r>
        <w:t>endor Trade Fairs</w:t>
      </w:r>
    </w:p>
    <w:p w:rsidR="007A5460" w:rsidRPr="00916849" w:rsidRDefault="007A5460" w:rsidP="00307403">
      <w:pPr>
        <w:spacing w:after="0" w:line="240" w:lineRule="auto"/>
      </w:pPr>
      <w:r w:rsidRPr="00916849">
        <w:t>SDOT will participate in (4)</w:t>
      </w:r>
      <w:r w:rsidRPr="008E06AB">
        <w:rPr>
          <w:b/>
        </w:rPr>
        <w:t xml:space="preserve"> </w:t>
      </w:r>
      <w:r w:rsidRPr="00916849">
        <w:t xml:space="preserve">local or regional outreach events, including: </w:t>
      </w:r>
    </w:p>
    <w:p w:rsidR="007A5460" w:rsidRPr="00916849" w:rsidRDefault="007A5460" w:rsidP="00221548">
      <w:pPr>
        <w:pStyle w:val="ListParagraph"/>
        <w:numPr>
          <w:ilvl w:val="0"/>
          <w:numId w:val="5"/>
        </w:numPr>
        <w:spacing w:line="240" w:lineRule="auto"/>
      </w:pPr>
      <w:r w:rsidRPr="00916849">
        <w:t>Regional Contracting Forum;</w:t>
      </w:r>
    </w:p>
    <w:p w:rsidR="007A5460" w:rsidRPr="00916849" w:rsidRDefault="007A5460" w:rsidP="00221548">
      <w:pPr>
        <w:pStyle w:val="ListParagraph"/>
        <w:numPr>
          <w:ilvl w:val="0"/>
          <w:numId w:val="5"/>
        </w:numPr>
        <w:spacing w:line="240" w:lineRule="auto"/>
      </w:pPr>
      <w:r w:rsidRPr="00916849">
        <w:t>Northwest Minority Show Case;</w:t>
      </w:r>
    </w:p>
    <w:p w:rsidR="005A62CA" w:rsidRDefault="005A62CA" w:rsidP="005A62CA">
      <w:pPr>
        <w:pStyle w:val="ListParagraph"/>
        <w:numPr>
          <w:ilvl w:val="0"/>
          <w:numId w:val="5"/>
        </w:numPr>
        <w:spacing w:after="100" w:line="240" w:lineRule="auto"/>
      </w:pPr>
      <w:r>
        <w:t>Alliance NW Conference;</w:t>
      </w:r>
    </w:p>
    <w:p w:rsidR="007A5460" w:rsidRPr="00916849" w:rsidRDefault="007A5460" w:rsidP="005A62CA">
      <w:pPr>
        <w:pStyle w:val="ListParagraph"/>
        <w:numPr>
          <w:ilvl w:val="0"/>
          <w:numId w:val="5"/>
        </w:numPr>
        <w:spacing w:after="100" w:line="240" w:lineRule="auto"/>
      </w:pPr>
      <w:r w:rsidRPr="00916849">
        <w:t>Northwest Native American Development Fair.</w:t>
      </w:r>
    </w:p>
    <w:p w:rsidR="007A5460" w:rsidRPr="00916849" w:rsidRDefault="007A5460" w:rsidP="007A5460">
      <w:pPr>
        <w:pStyle w:val="Heading2"/>
      </w:pPr>
      <w:r w:rsidRPr="00916849">
        <w:t>Community Meetings</w:t>
      </w:r>
    </w:p>
    <w:p w:rsidR="00F3148B" w:rsidRDefault="007A5460" w:rsidP="00307403">
      <w:pPr>
        <w:spacing w:after="0" w:line="240" w:lineRule="auto"/>
      </w:pPr>
      <w:r w:rsidRPr="00916849">
        <w:t>A SDOT representative will continue to attend</w:t>
      </w:r>
      <w:r w:rsidR="00F3148B">
        <w:t>:</w:t>
      </w:r>
    </w:p>
    <w:p w:rsidR="00F3148B" w:rsidRDefault="007A5460" w:rsidP="00B23280">
      <w:pPr>
        <w:pStyle w:val="ListParagraph"/>
        <w:numPr>
          <w:ilvl w:val="0"/>
          <w:numId w:val="6"/>
        </w:numPr>
        <w:spacing w:line="240" w:lineRule="auto"/>
      </w:pPr>
      <w:r w:rsidRPr="00916849">
        <w:t>Tabor 100</w:t>
      </w:r>
      <w:r w:rsidR="00F3148B">
        <w:t>;</w:t>
      </w:r>
    </w:p>
    <w:p w:rsidR="00F3148B" w:rsidRPr="00F3148B" w:rsidRDefault="007A5460" w:rsidP="00B23280">
      <w:pPr>
        <w:pStyle w:val="ListParagraph"/>
        <w:numPr>
          <w:ilvl w:val="0"/>
          <w:numId w:val="6"/>
        </w:numPr>
        <w:spacing w:line="240" w:lineRule="auto"/>
      </w:pPr>
      <w:r w:rsidRPr="00F3148B">
        <w:rPr>
          <w:color w:val="000000"/>
        </w:rPr>
        <w:t xml:space="preserve"> The Community Coalition for Contracts and Jobs (</w:t>
      </w:r>
      <w:r w:rsidRPr="00F3148B">
        <w:rPr>
          <w:bCs/>
          <w:color w:val="000000"/>
        </w:rPr>
        <w:t>CCCJ</w:t>
      </w:r>
      <w:r w:rsidRPr="00F3148B">
        <w:rPr>
          <w:color w:val="000000"/>
        </w:rPr>
        <w:t>)</w:t>
      </w:r>
      <w:r w:rsidR="00F3148B">
        <w:rPr>
          <w:color w:val="000000"/>
        </w:rPr>
        <w:t>;</w:t>
      </w:r>
    </w:p>
    <w:p w:rsidR="00F3148B" w:rsidRPr="00F3148B" w:rsidRDefault="00F3148B" w:rsidP="00B23280">
      <w:pPr>
        <w:pStyle w:val="ListParagraph"/>
        <w:numPr>
          <w:ilvl w:val="0"/>
          <w:numId w:val="6"/>
        </w:numPr>
        <w:spacing w:line="240" w:lineRule="auto"/>
      </w:pPr>
      <w:r>
        <w:t>National Association of Minority Contractors (NAMC);</w:t>
      </w:r>
    </w:p>
    <w:p w:rsidR="007A5460" w:rsidRPr="00916849" w:rsidRDefault="007A5460" w:rsidP="00B23280">
      <w:pPr>
        <w:pStyle w:val="ListParagraph"/>
        <w:numPr>
          <w:ilvl w:val="0"/>
          <w:numId w:val="6"/>
        </w:numPr>
        <w:spacing w:line="240" w:lineRule="auto"/>
      </w:pPr>
      <w:r w:rsidRPr="00916849">
        <w:t xml:space="preserve"> Affinity Chambers including Hispanic and Filipino Chambers.</w:t>
      </w:r>
    </w:p>
    <w:p w:rsidR="007A5460" w:rsidRPr="00916849" w:rsidRDefault="007A5460" w:rsidP="007A5460">
      <w:pPr>
        <w:pStyle w:val="Heading2"/>
      </w:pPr>
      <w:r w:rsidRPr="00916849">
        <w:t>Urban Enterprise Center Partnership</w:t>
      </w:r>
    </w:p>
    <w:p w:rsidR="007A5460" w:rsidRDefault="008C337B" w:rsidP="000D751C">
      <w:pPr>
        <w:spacing w:after="100"/>
      </w:pPr>
      <w:r>
        <w:t>SDOT as part of a greater c</w:t>
      </w:r>
      <w:r w:rsidR="007A5460" w:rsidRPr="00916849">
        <w:t>ity coalition</w:t>
      </w:r>
      <w:r>
        <w:t>,</w:t>
      </w:r>
      <w:r w:rsidR="007A5460" w:rsidRPr="00916849">
        <w:t xml:space="preserve"> will partner with the Greater Seattle Chamber's multicultural business arm, the </w:t>
      </w:r>
      <w:r w:rsidR="007A5460" w:rsidRPr="00916849">
        <w:rPr>
          <w:bCs/>
        </w:rPr>
        <w:t>Urban Enterprise Center</w:t>
      </w:r>
      <w:r w:rsidR="007A5460" w:rsidRPr="00916849">
        <w:t xml:space="preserve"> (UEC) to outreach to local business.  The UEC promotes economic empowerment, increased participation and growth for minority-owned and small businesses, and improved race relations in the metropolitan area. </w:t>
      </w:r>
    </w:p>
    <w:p w:rsidR="00A452AE" w:rsidRPr="007A5460" w:rsidRDefault="00A452AE" w:rsidP="006E661B">
      <w:pPr>
        <w:pStyle w:val="Heading1"/>
        <w:spacing w:before="300" w:after="100" w:line="240" w:lineRule="auto"/>
      </w:pPr>
      <w:r>
        <w:t>Community Workforce Agreement (CWA)</w:t>
      </w:r>
    </w:p>
    <w:p w:rsidR="009B41C2" w:rsidRDefault="009B41C2" w:rsidP="009B41C2">
      <w:pPr>
        <w:spacing w:after="0"/>
      </w:pPr>
      <w:r>
        <w:t xml:space="preserve">The </w:t>
      </w:r>
      <w:r w:rsidR="0042122F">
        <w:t>Elliott</w:t>
      </w:r>
      <w:r>
        <w:t xml:space="preserve"> Bay Seawall project represents one of the largest public works projects ever delivered in the region. It has an estimated $200 million price tag. The Mayor of Seattle recently launched a social equity initiative to seek a Community Workforce Agreement</w:t>
      </w:r>
      <w:r w:rsidR="00DC3902">
        <w:t xml:space="preserve"> </w:t>
      </w:r>
      <w:r>
        <w:t>(CWA) on Cit</w:t>
      </w:r>
      <w:r w:rsidR="00DC3902">
        <w:t xml:space="preserve">y of Seattle projects. In 2013, </w:t>
      </w:r>
      <w:r>
        <w:t xml:space="preserve">the City of Seattle and SDOT entered in to an agreement for a CWA as part of the GC/CM construction contract for the </w:t>
      </w:r>
      <w:r w:rsidR="0042122F">
        <w:t>Elliott</w:t>
      </w:r>
      <w:r>
        <w:t xml:space="preserve"> Bay Seawall </w:t>
      </w:r>
      <w:r>
        <w:lastRenderedPageBreak/>
        <w:t>project.  The CWA will address “Worker Diversity” a</w:t>
      </w:r>
      <w:r w:rsidR="00DC3902">
        <w:t>nd will strive to meet several a</w:t>
      </w:r>
      <w:r>
        <w:t>psir</w:t>
      </w:r>
      <w:r w:rsidR="00DC3902">
        <w:t>ational goals/ requirements.</w:t>
      </w:r>
      <w:r>
        <w:t>  They include:</w:t>
      </w:r>
    </w:p>
    <w:p w:rsidR="009B41C2" w:rsidRDefault="009B41C2" w:rsidP="009B41C2">
      <w:pPr>
        <w:pStyle w:val="ListParagraph"/>
        <w:numPr>
          <w:ilvl w:val="0"/>
          <w:numId w:val="18"/>
        </w:numPr>
        <w:spacing w:after="0" w:line="240" w:lineRule="auto"/>
        <w:contextualSpacing w:val="0"/>
      </w:pPr>
      <w:r>
        <w:t>Woman and minority apprentice placement goals</w:t>
      </w:r>
      <w:r w:rsidR="00B20726">
        <w:t>;</w:t>
      </w:r>
      <w:r>
        <w:t xml:space="preserve"> </w:t>
      </w:r>
    </w:p>
    <w:p w:rsidR="009B41C2" w:rsidRDefault="009B41C2" w:rsidP="009B41C2">
      <w:pPr>
        <w:pStyle w:val="ListParagraph"/>
        <w:numPr>
          <w:ilvl w:val="0"/>
          <w:numId w:val="18"/>
        </w:numPr>
        <w:spacing w:after="0" w:line="240" w:lineRule="auto"/>
        <w:contextualSpacing w:val="0"/>
      </w:pPr>
      <w:r>
        <w:t>Wo</w:t>
      </w:r>
      <w:r w:rsidR="00B20726">
        <w:t>man &amp; minority total hour goals;</w:t>
      </w:r>
    </w:p>
    <w:p w:rsidR="009B41C2" w:rsidRDefault="009B41C2" w:rsidP="009B41C2">
      <w:pPr>
        <w:pStyle w:val="ListParagraph"/>
        <w:numPr>
          <w:ilvl w:val="0"/>
          <w:numId w:val="18"/>
        </w:numPr>
        <w:spacing w:after="0" w:line="240" w:lineRule="auto"/>
        <w:contextualSpacing w:val="0"/>
      </w:pPr>
      <w:r>
        <w:t>Preferred entry  apprenticeship goals</w:t>
      </w:r>
      <w:r w:rsidR="00B20726">
        <w:t>;</w:t>
      </w:r>
    </w:p>
    <w:p w:rsidR="009B41C2" w:rsidRDefault="00B20726" w:rsidP="009B41C2">
      <w:pPr>
        <w:pStyle w:val="ListParagraph"/>
        <w:numPr>
          <w:ilvl w:val="0"/>
          <w:numId w:val="18"/>
        </w:numPr>
        <w:spacing w:after="100" w:line="240" w:lineRule="auto"/>
        <w:contextualSpacing w:val="0"/>
      </w:pPr>
      <w:r>
        <w:t xml:space="preserve">Local hiring goals. </w:t>
      </w:r>
    </w:p>
    <w:p w:rsidR="009B41C2" w:rsidRDefault="009B41C2" w:rsidP="009B41C2">
      <w:r>
        <w:t xml:space="preserve">SDOT will work actively with FAS and the prime contractor to implement and </w:t>
      </w:r>
      <w:r w:rsidR="006E661B">
        <w:t>monitor</w:t>
      </w:r>
      <w:r>
        <w:t xml:space="preserve"> the result of the CWA.  It will include leadership and participation on the Joint Action Committee (JAC) as part of the process. </w:t>
      </w:r>
    </w:p>
    <w:p w:rsidR="00AE37B3" w:rsidRPr="007A5460" w:rsidRDefault="007A5460" w:rsidP="006E661B">
      <w:pPr>
        <w:pStyle w:val="Heading1"/>
        <w:spacing w:before="300" w:line="240" w:lineRule="auto"/>
      </w:pPr>
      <w:r w:rsidRPr="007A5460">
        <w:t>Conclusion</w:t>
      </w:r>
    </w:p>
    <w:p w:rsidR="00AE37B3" w:rsidRDefault="00AE37B3" w:rsidP="007A5460">
      <w:r w:rsidRPr="007A5460">
        <w:t xml:space="preserve">SDOT will work aggressively to increase its outreach efforts in all areas of contracting. The </w:t>
      </w:r>
      <w:r w:rsidR="008C337B">
        <w:t>d</w:t>
      </w:r>
      <w:r w:rsidRPr="007A5460">
        <w:t>epartment will actively participate in local and regional outreach events and continue to b</w:t>
      </w:r>
      <w:r w:rsidR="007A5460" w:rsidRPr="007A5460">
        <w:t xml:space="preserve">uild its bond with the WMBE </w:t>
      </w:r>
      <w:r w:rsidRPr="007A5460">
        <w:t>contracting community. SDOT Director Peter Hahn will hold meet and greets with local WMBE firms. These firms will be representational of all the MBE groups. SDOT will take specific measures to int</w:t>
      </w:r>
      <w:r w:rsidR="00C43E47">
        <w:t>erface with the WMBE and WMBE</w:t>
      </w:r>
      <w:r w:rsidRPr="007A5460">
        <w:t xml:space="preserve"> community to identify and reduce barriers to contracting opportunities. SDOT will continue to provide staff training to improve knowledge of contract information available to department staff to ensure mo</w:t>
      </w:r>
      <w:r w:rsidR="00C43E47">
        <w:t>re targeted outreach to WMBE</w:t>
      </w:r>
      <w:r w:rsidRPr="007A5460">
        <w:t>s with capacity to perform on specific SDOT contracts.</w:t>
      </w:r>
    </w:p>
    <w:p w:rsidR="000D751C" w:rsidRPr="007A5460" w:rsidRDefault="000D751C" w:rsidP="007A5460">
      <w:pPr>
        <w:rPr>
          <w:u w:val="single"/>
        </w:rPr>
      </w:pPr>
    </w:p>
    <w:p w:rsidR="00B23280" w:rsidRDefault="00FA0B9B" w:rsidP="004D5586">
      <w:r>
        <w:rPr>
          <w:noProof/>
        </w:rPr>
        <mc:AlternateContent>
          <mc:Choice Requires="wps">
            <w:drawing>
              <wp:anchor distT="0" distB="0" distL="114300" distR="114300" simplePos="0" relativeHeight="251660288" behindDoc="0" locked="0" layoutInCell="1" allowOverlap="1">
                <wp:simplePos x="0" y="0"/>
                <wp:positionH relativeFrom="column">
                  <wp:posOffset>791210</wp:posOffset>
                </wp:positionH>
                <wp:positionV relativeFrom="paragraph">
                  <wp:posOffset>1303655</wp:posOffset>
                </wp:positionV>
                <wp:extent cx="4832985" cy="1070610"/>
                <wp:effectExtent l="10795" t="10795" r="13970" b="139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1070610"/>
                        </a:xfrm>
                        <a:prstGeom prst="rect">
                          <a:avLst/>
                        </a:prstGeom>
                        <a:solidFill>
                          <a:srgbClr val="FFFFFF"/>
                        </a:solidFill>
                        <a:ln w="9525">
                          <a:solidFill>
                            <a:srgbClr val="000000"/>
                          </a:solidFill>
                          <a:miter lim="800000"/>
                          <a:headEnd/>
                          <a:tailEnd/>
                        </a:ln>
                      </wps:spPr>
                      <wps:txbx>
                        <w:txbxContent>
                          <w:p w:rsidR="00B23280" w:rsidRPr="00B23280" w:rsidRDefault="00B23280" w:rsidP="00B23280">
                            <w:pPr>
                              <w:jc w:val="center"/>
                              <w:rPr>
                                <w:b/>
                                <w:u w:val="single"/>
                              </w:rPr>
                            </w:pPr>
                            <w:r w:rsidRPr="00B23280">
                              <w:rPr>
                                <w:b/>
                                <w:u w:val="single"/>
                              </w:rPr>
                              <w:t>Department Outreach Staff:</w:t>
                            </w:r>
                          </w:p>
                          <w:p w:rsidR="00B23280" w:rsidRDefault="00A452AE">
                            <w:r>
                              <w:t>Bobby Forch- Contracting Equity Manager</w:t>
                            </w:r>
                          </w:p>
                          <w:p w:rsidR="00B23280" w:rsidRDefault="00B2328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3pt;margin-top:102.65pt;width:380.55pt;height:8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fBKgIAAFE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">
                <v:textbox style="mso-fit-shape-to-text:t">
                  <w:txbxContent>
                    <w:p w:rsidR="00B23280" w:rsidRPr="00B23280" w:rsidRDefault="00B23280" w:rsidP="00B23280">
                      <w:pPr>
                        <w:jc w:val="center"/>
                        <w:rPr>
                          <w:b/>
                          <w:u w:val="single"/>
                        </w:rPr>
                      </w:pPr>
                      <w:r w:rsidRPr="00B23280">
                        <w:rPr>
                          <w:b/>
                          <w:u w:val="single"/>
                        </w:rPr>
                        <w:t>Department Outreach Staff:</w:t>
                      </w:r>
                    </w:p>
                    <w:p w:rsidR="00B23280" w:rsidRDefault="00A452AE">
                      <w:r>
                        <w:t>Bobby Forch- Contracting Equity Manager</w:t>
                      </w:r>
                    </w:p>
                    <w:p w:rsidR="00B23280" w:rsidRDefault="00B23280"/>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791210</wp:posOffset>
                </wp:positionH>
                <wp:positionV relativeFrom="paragraph">
                  <wp:posOffset>-1270</wp:posOffset>
                </wp:positionV>
                <wp:extent cx="4826000" cy="1070610"/>
                <wp:effectExtent l="10795" t="10795" r="11430"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070610"/>
                        </a:xfrm>
                        <a:prstGeom prst="rect">
                          <a:avLst/>
                        </a:prstGeom>
                        <a:solidFill>
                          <a:srgbClr val="FFFFFF"/>
                        </a:solidFill>
                        <a:ln w="9525">
                          <a:solidFill>
                            <a:srgbClr val="000000"/>
                          </a:solidFill>
                          <a:miter lim="800000"/>
                          <a:headEnd/>
                          <a:tailEnd/>
                        </a:ln>
                      </wps:spPr>
                      <wps:txbx>
                        <w:txbxContent>
                          <w:p w:rsidR="00B23280" w:rsidRPr="00B23280" w:rsidRDefault="00A452AE" w:rsidP="00B23280">
                            <w:pPr>
                              <w:jc w:val="center"/>
                              <w:rPr>
                                <w:b/>
                                <w:u w:val="single"/>
                              </w:rPr>
                            </w:pPr>
                            <w:r>
                              <w:rPr>
                                <w:b/>
                                <w:u w:val="single"/>
                              </w:rPr>
                              <w:t>Department Lead</w:t>
                            </w:r>
                            <w:r w:rsidR="00B23280">
                              <w:rPr>
                                <w:b/>
                                <w:u w:val="single"/>
                              </w:rPr>
                              <w:t>:</w:t>
                            </w:r>
                          </w:p>
                          <w:p w:rsidR="00B23280" w:rsidRDefault="00B23280" w:rsidP="00B23280">
                            <w:r>
                              <w:t xml:space="preserve">Lenda Crawford- </w:t>
                            </w:r>
                            <w:r w:rsidR="00A452AE">
                              <w:t>SDOT Deputy Director</w:t>
                            </w:r>
                          </w:p>
                          <w:p w:rsidR="00B23280" w:rsidRDefault="00B23280" w:rsidP="00B2328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62.3pt;margin-top:-.1pt;width:380pt;height:84.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">
                <v:textbox style="mso-fit-shape-to-text:t">
                  <w:txbxContent>
                    <w:p w:rsidR="00B23280" w:rsidRPr="00B23280" w:rsidRDefault="00A452AE" w:rsidP="00B23280">
                      <w:pPr>
                        <w:jc w:val="center"/>
                        <w:rPr>
                          <w:b/>
                          <w:u w:val="single"/>
                        </w:rPr>
                      </w:pPr>
                      <w:r>
                        <w:rPr>
                          <w:b/>
                          <w:u w:val="single"/>
                        </w:rPr>
                        <w:t>Department Lead</w:t>
                      </w:r>
                      <w:r w:rsidR="00B23280">
                        <w:rPr>
                          <w:b/>
                          <w:u w:val="single"/>
                        </w:rPr>
                        <w:t>:</w:t>
                      </w:r>
                    </w:p>
                    <w:p w:rsidR="00B23280" w:rsidRDefault="00B23280" w:rsidP="00B23280">
                      <w:r>
                        <w:t xml:space="preserve">Lenda Crawford- </w:t>
                      </w:r>
                      <w:r w:rsidR="00A452AE">
                        <w:t>SDOT Deputy Director</w:t>
                      </w:r>
                    </w:p>
                    <w:p w:rsidR="00B23280" w:rsidRDefault="00B23280" w:rsidP="00B23280"/>
                  </w:txbxContent>
                </v:textbox>
              </v:shape>
            </w:pict>
          </mc:Fallback>
        </mc:AlternateContent>
      </w:r>
    </w:p>
    <w:sectPr w:rsidR="00B23280" w:rsidSect="00077EB2">
      <w:headerReference w:type="default" r:id="rId11"/>
      <w:footerReference w:type="even" r:id="rId12"/>
      <w:footerReference w:type="default" r:id="rId13"/>
      <w:headerReference w:type="first" r:id="rId14"/>
      <w:footerReference w:type="first" r:id="rId15"/>
      <w:pgSz w:w="12240" w:h="15840" w:code="1"/>
      <w:pgMar w:top="1296" w:right="1080" w:bottom="1296"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2A" w:rsidRDefault="002C112A">
      <w:r>
        <w:separator/>
      </w:r>
    </w:p>
  </w:endnote>
  <w:endnote w:type="continuationSeparator" w:id="0">
    <w:p w:rsidR="002C112A" w:rsidRDefault="002C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10" w:rsidRDefault="00A4274C" w:rsidP="009F25BB">
    <w:pPr>
      <w:pStyle w:val="Footer"/>
      <w:framePr w:wrap="around" w:vAnchor="text" w:hAnchor="margin" w:xAlign="right" w:y="1"/>
      <w:rPr>
        <w:rStyle w:val="PageNumber"/>
      </w:rPr>
    </w:pPr>
    <w:r>
      <w:rPr>
        <w:rStyle w:val="PageNumber"/>
      </w:rPr>
      <w:fldChar w:fldCharType="begin"/>
    </w:r>
    <w:r w:rsidR="00F42210">
      <w:rPr>
        <w:rStyle w:val="PageNumber"/>
      </w:rPr>
      <w:instrText xml:space="preserve">PAGE  </w:instrText>
    </w:r>
    <w:r>
      <w:rPr>
        <w:rStyle w:val="PageNumber"/>
      </w:rPr>
      <w:fldChar w:fldCharType="end"/>
    </w:r>
  </w:p>
  <w:p w:rsidR="00F42210" w:rsidRDefault="00F42210" w:rsidP="009F25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10" w:rsidRDefault="00A4274C" w:rsidP="009F25BB">
    <w:pPr>
      <w:pStyle w:val="Footer"/>
      <w:framePr w:wrap="around" w:vAnchor="text" w:hAnchor="margin" w:xAlign="right" w:y="1"/>
      <w:rPr>
        <w:rStyle w:val="PageNumber"/>
      </w:rPr>
    </w:pPr>
    <w:r>
      <w:rPr>
        <w:rStyle w:val="PageNumber"/>
      </w:rPr>
      <w:fldChar w:fldCharType="begin"/>
    </w:r>
    <w:r w:rsidR="00F42210">
      <w:rPr>
        <w:rStyle w:val="PageNumber"/>
      </w:rPr>
      <w:instrText xml:space="preserve">PAGE  </w:instrText>
    </w:r>
    <w:r>
      <w:rPr>
        <w:rStyle w:val="PageNumber"/>
      </w:rPr>
      <w:fldChar w:fldCharType="separate"/>
    </w:r>
    <w:r w:rsidR="00FA0B9B">
      <w:rPr>
        <w:rStyle w:val="PageNumber"/>
        <w:noProof/>
      </w:rPr>
      <w:t>3</w:t>
    </w:r>
    <w:r>
      <w:rPr>
        <w:rStyle w:val="PageNumber"/>
      </w:rPr>
      <w:fldChar w:fldCharType="end"/>
    </w:r>
  </w:p>
  <w:p w:rsidR="00F42210" w:rsidRDefault="00F42210" w:rsidP="009F25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10" w:rsidRDefault="00FA0B9B">
    <w:pPr>
      <w:pStyle w:val="Footer"/>
    </w:pPr>
    <w:r>
      <w:rPr>
        <w:noProof/>
      </w:rPr>
      <mc:AlternateContent>
        <mc:Choice Requires="wps">
          <w:drawing>
            <wp:anchor distT="0" distB="0" distL="114300" distR="114300" simplePos="0" relativeHeight="251656192" behindDoc="0" locked="0" layoutInCell="1" allowOverlap="1">
              <wp:simplePos x="0" y="0"/>
              <wp:positionH relativeFrom="column">
                <wp:posOffset>-520065</wp:posOffset>
              </wp:positionH>
              <wp:positionV relativeFrom="paragraph">
                <wp:posOffset>107950</wp:posOffset>
              </wp:positionV>
              <wp:extent cx="6515100" cy="54864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210" w:rsidRDefault="00F42210">
                          <w:pPr>
                            <w:pStyle w:val="Footer"/>
                            <w:tabs>
                              <w:tab w:val="clear" w:pos="4320"/>
                              <w:tab w:val="clear" w:pos="8640"/>
                            </w:tabs>
                          </w:pPr>
                        </w:p>
                        <w:p w:rsidR="00F42210" w:rsidRDefault="00F422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0.95pt;margin-top:8.5pt;width:513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" stroked="f">
              <v:textbox>
                <w:txbxContent>
                  <w:p w:rsidR="00F42210" w:rsidRDefault="00F42210">
                    <w:pPr>
                      <w:pStyle w:val="Footer"/>
                      <w:tabs>
                        <w:tab w:val="clear" w:pos="4320"/>
                        <w:tab w:val="clear" w:pos="8640"/>
                      </w:tabs>
                    </w:pPr>
                  </w:p>
                  <w:p w:rsidR="00F42210" w:rsidRDefault="00F42210"/>
                </w:txbxContent>
              </v:textbox>
            </v:shape>
          </w:pict>
        </mc:Fallback>
      </mc:AlternateContent>
    </w:r>
  </w:p>
  <w:p w:rsidR="00F42210" w:rsidRDefault="00F42210">
    <w:pPr>
      <w:pStyle w:val="Footer"/>
    </w:pPr>
  </w:p>
  <w:p w:rsidR="00F42210" w:rsidRDefault="00F42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2A" w:rsidRDefault="002C112A">
      <w:r>
        <w:separator/>
      </w:r>
    </w:p>
  </w:footnote>
  <w:footnote w:type="continuationSeparator" w:id="0">
    <w:p w:rsidR="002C112A" w:rsidRDefault="002C112A">
      <w:r>
        <w:continuationSeparator/>
      </w:r>
    </w:p>
  </w:footnote>
  <w:footnote w:id="1">
    <w:p w:rsidR="001775DE" w:rsidRDefault="001775DE" w:rsidP="001775DE">
      <w:pPr>
        <w:rPr>
          <w:rFonts w:cs="Arial"/>
        </w:rPr>
      </w:pPr>
      <w:r>
        <w:rPr>
          <w:rStyle w:val="FootnoteReference"/>
        </w:rPr>
        <w:footnoteRef/>
      </w:r>
      <w:r>
        <w:t xml:space="preserve"> </w:t>
      </w:r>
      <w:r w:rsidRPr="006868ED">
        <w:rPr>
          <w:rFonts w:cs="Arial"/>
        </w:rPr>
        <w:t>In addition</w:t>
      </w:r>
      <w:r>
        <w:rPr>
          <w:rFonts w:cs="Arial"/>
        </w:rPr>
        <w:t>,</w:t>
      </w:r>
      <w:r w:rsidRPr="006868ED">
        <w:rPr>
          <w:rFonts w:cs="Arial"/>
        </w:rPr>
        <w:t xml:space="preserve"> in the area of purchasing there was</w:t>
      </w:r>
      <w:r>
        <w:rPr>
          <w:rFonts w:cs="Arial"/>
        </w:rPr>
        <w:t xml:space="preserve"> a $5.2 million adjustment </w:t>
      </w:r>
      <w:r w:rsidRPr="006868ED">
        <w:rPr>
          <w:rFonts w:cs="Arial"/>
        </w:rPr>
        <w:t xml:space="preserve">for the purchase of Street Cars and Rail for the Seattle Streetcar Network due to lack of WMBE opportunity. </w:t>
      </w:r>
    </w:p>
    <w:p w:rsidR="001775DE" w:rsidRDefault="001775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10" w:rsidRDefault="00F42210">
    <w:pPr>
      <w:pStyle w:val="Header"/>
      <w:rPr>
        <w:rFonts w:ascii="Arial" w:hAnsi="Arial" w:cs="Arial"/>
        <w:sz w:val="22"/>
      </w:rPr>
    </w:pPr>
    <w:r>
      <w:rPr>
        <w:rFonts w:ascii="Arial" w:hAnsi="Arial" w:cs="Arial"/>
        <w:sz w:val="22"/>
      </w:rPr>
      <w:t>2013</w:t>
    </w:r>
    <w:r w:rsidRPr="00016825">
      <w:rPr>
        <w:rFonts w:ascii="Arial" w:hAnsi="Arial" w:cs="Arial"/>
        <w:sz w:val="22"/>
      </w:rPr>
      <w:t xml:space="preserve"> SDOT WMBE OUTREACH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10" w:rsidRDefault="00FA0B9B">
    <w:pPr>
      <w:pStyle w:val="Header"/>
    </w:pPr>
    <w:r>
      <w:rPr>
        <w:noProof/>
        <w:sz w:val="20"/>
      </w:rPr>
      <mc:AlternateContent>
        <mc:Choice Requires="wps">
          <w:drawing>
            <wp:anchor distT="0" distB="0" distL="114300" distR="114300" simplePos="0" relativeHeight="251657216" behindDoc="1" locked="0" layoutInCell="0" allowOverlap="1">
              <wp:simplePos x="0" y="0"/>
              <wp:positionH relativeFrom="page">
                <wp:posOffset>1145540</wp:posOffset>
              </wp:positionH>
              <wp:positionV relativeFrom="page">
                <wp:posOffset>521335</wp:posOffset>
              </wp:positionV>
              <wp:extent cx="3362325" cy="624205"/>
              <wp:effectExtent l="2540" t="0" r="0" b="0"/>
              <wp:wrapTight wrapText="bothSides">
                <wp:wrapPolygon edited="0">
                  <wp:start x="0" y="0"/>
                  <wp:lineTo x="21600" y="0"/>
                  <wp:lineTo x="21600" y="21600"/>
                  <wp:lineTo x="0" y="2160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10" w:rsidRPr="003205AF" w:rsidRDefault="00F42210" w:rsidP="003205AF">
                          <w:pPr>
                            <w:pStyle w:val="Heading3"/>
                            <w:rPr>
                              <w:rFonts w:ascii="Times" w:hAnsi="Times"/>
                              <w:b w:val="0"/>
                              <w:sz w:val="66"/>
                            </w:rPr>
                          </w:pPr>
                          <w:r>
                            <w:rPr>
                              <w:rFonts w:ascii="Times" w:hAnsi="Times"/>
                              <w:b w:val="0"/>
                              <w:sz w:val="66"/>
                            </w:rPr>
                            <w:t>City of Seattle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0.2pt;margin-top:41.05pt;width:264.75pt;height:4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PqrQ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" o:allowincell="f" filled="f" stroked="f">
              <v:textbox inset="0,0,0,0">
                <w:txbxContent>
                  <w:p w:rsidR="00F42210" w:rsidRPr="003205AF" w:rsidRDefault="00F42210" w:rsidP="003205AF">
                    <w:pPr>
                      <w:pStyle w:val="Heading3"/>
                      <w:rPr>
                        <w:rFonts w:ascii="Times" w:hAnsi="Times"/>
                        <w:b w:val="0"/>
                        <w:sz w:val="66"/>
                      </w:rPr>
                    </w:pPr>
                    <w:r>
                      <w:rPr>
                        <w:rFonts w:ascii="Times" w:hAnsi="Times"/>
                        <w:b w:val="0"/>
                        <w:sz w:val="66"/>
                      </w:rPr>
                      <w:t>City of Seattle</w:t>
                    </w:r>
                  </w:p>
                </w:txbxContent>
              </v:textbox>
              <w10:wrap type="tight" anchorx="page" anchory="page"/>
            </v:shape>
          </w:pict>
        </mc:Fallback>
      </mc:AlternateContent>
    </w:r>
    <w:r>
      <w:rPr>
        <w:noProof/>
        <w:sz w:val="20"/>
      </w:rPr>
      <mc:AlternateContent>
        <mc:Choice Requires="wps">
          <w:drawing>
            <wp:anchor distT="0" distB="0" distL="114300" distR="114300" simplePos="0" relativeHeight="251658240" behindDoc="1" locked="1" layoutInCell="0" allowOverlap="1">
              <wp:simplePos x="0" y="0"/>
              <wp:positionH relativeFrom="page">
                <wp:posOffset>402590</wp:posOffset>
              </wp:positionH>
              <wp:positionV relativeFrom="page">
                <wp:posOffset>457200</wp:posOffset>
              </wp:positionV>
              <wp:extent cx="685800" cy="688340"/>
              <wp:effectExtent l="2540" t="0" r="0" b="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10" w:rsidRDefault="00F42210">
                          <w:r w:rsidRPr="002615E7">
                            <w:object w:dxaOrig="106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54pt" o:ole="" fillcolor="window">
                                <v:imagedata r:id="rId1" o:title=""/>
                              </v:shape>
                              <o:OLEObject Type="Embed" ProgID="Word.Picture.8" ShapeID="_x0000_i1026" DrawAspect="Content" ObjectID="_1468758825"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1.7pt;margin-top:36pt;width:54pt;height:5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4jsgIAAK8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" o:allowincell="f" filled="f" stroked="f">
              <v:textbox inset="0,0,0,0">
                <w:txbxContent>
                  <w:p w:rsidR="00F42210" w:rsidRDefault="00F42210">
                    <w:r w:rsidRPr="002615E7">
                      <w:object w:dxaOrig="1066" w:dyaOrig="1080">
                        <v:shape id="_x0000_i1026" type="#_x0000_t75" style="width:53.25pt;height:54pt" o:ole="" fillcolor="window">
                          <v:imagedata r:id="rId1" o:title=""/>
                        </v:shape>
                        <o:OLEObject Type="Embed" ProgID="Word.Picture.8" ShapeID="_x0000_i1026" DrawAspect="Content" ObjectID="_1468758825" r:id="rId3"/>
                      </w:object>
                    </w:r>
                  </w:p>
                </w:txbxContent>
              </v:textbox>
              <w10:wrap type="tight" anchorx="page" anchory="page"/>
              <w10:anchorlock/>
            </v:shape>
          </w:pict>
        </mc:Fallback>
      </mc:AlternateContent>
    </w:r>
  </w:p>
  <w:p w:rsidR="00F42210" w:rsidRDefault="00F42210">
    <w:pPr>
      <w:pStyle w:val="Header"/>
    </w:pPr>
  </w:p>
  <w:p w:rsidR="00F42210" w:rsidRDefault="00F42210">
    <w:pPr>
      <w:pStyle w:val="Header"/>
    </w:pPr>
  </w:p>
  <w:p w:rsidR="00F42210" w:rsidRDefault="00F42210">
    <w:pPr>
      <w:pStyle w:val="Header"/>
    </w:pPr>
  </w:p>
  <w:p w:rsidR="00F42210" w:rsidRDefault="00F42210">
    <w:pPr>
      <w:pStyle w:val="Header"/>
    </w:pPr>
  </w:p>
  <w:p w:rsidR="00F42210" w:rsidRDefault="00F42210" w:rsidP="00016825">
    <w:pPr>
      <w:jc w:val="center"/>
      <w:rPr>
        <w:rFonts w:ascii="Arial" w:hAnsi="Arial" w:cs="Arial"/>
        <w:sz w:val="28"/>
        <w:szCs w:val="28"/>
      </w:rPr>
    </w:pPr>
    <w:r>
      <w:rPr>
        <w:rFonts w:ascii="Arial" w:hAnsi="Arial" w:cs="Arial"/>
        <w:sz w:val="28"/>
        <w:szCs w:val="28"/>
      </w:rPr>
      <w:t>2013</w:t>
    </w:r>
    <w:r w:rsidRPr="00016825">
      <w:rPr>
        <w:rFonts w:ascii="Arial" w:hAnsi="Arial" w:cs="Arial"/>
        <w:sz w:val="28"/>
        <w:szCs w:val="28"/>
      </w:rPr>
      <w:t xml:space="preserve"> SEATTLE DEPARTMENT OF TRANSPORTATION</w:t>
    </w:r>
  </w:p>
  <w:p w:rsidR="00F42210" w:rsidRPr="00016825" w:rsidRDefault="00F42210" w:rsidP="00016825">
    <w:pPr>
      <w:jc w:val="center"/>
      <w:rPr>
        <w:rFonts w:ascii="Arial" w:hAnsi="Arial" w:cs="Arial"/>
        <w:sz w:val="28"/>
        <w:szCs w:val="28"/>
      </w:rPr>
    </w:pPr>
    <w:r>
      <w:rPr>
        <w:rFonts w:ascii="Arial" w:hAnsi="Arial" w:cs="Arial"/>
        <w:sz w:val="28"/>
        <w:szCs w:val="28"/>
      </w:rPr>
      <w:t xml:space="preserve"> WMBE</w:t>
    </w:r>
    <w:r w:rsidRPr="00016825">
      <w:rPr>
        <w:rFonts w:ascii="Arial" w:hAnsi="Arial" w:cs="Arial"/>
        <w:sz w:val="28"/>
        <w:szCs w:val="28"/>
      </w:rPr>
      <w:t xml:space="preserve"> OUTREACH PLAN</w:t>
    </w:r>
  </w:p>
  <w:p w:rsidR="00F42210" w:rsidRDefault="00FA0B9B">
    <w:pPr>
      <w:pStyle w:val="Header"/>
    </w:pPr>
    <w:r>
      <w:rPr>
        <w:noProof/>
        <w:sz w:val="20"/>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1033145</wp:posOffset>
              </wp:positionV>
              <wp:extent cx="5943600" cy="0"/>
              <wp:effectExtent l="9525" t="13970" r="9525"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81.35pt" to="558pt,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" o:allowincell="f" strokecolor="#36f">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0FCA"/>
    <w:multiLevelType w:val="hybridMultilevel"/>
    <w:tmpl w:val="E694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838ED"/>
    <w:multiLevelType w:val="hybridMultilevel"/>
    <w:tmpl w:val="5588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F18C5"/>
    <w:multiLevelType w:val="hybridMultilevel"/>
    <w:tmpl w:val="C47C8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93187"/>
    <w:multiLevelType w:val="hybridMultilevel"/>
    <w:tmpl w:val="8EEC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55C87"/>
    <w:multiLevelType w:val="hybridMultilevel"/>
    <w:tmpl w:val="FF18C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5C47A24"/>
    <w:multiLevelType w:val="hybridMultilevel"/>
    <w:tmpl w:val="E41A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BE11D98"/>
    <w:multiLevelType w:val="hybridMultilevel"/>
    <w:tmpl w:val="1480E4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605258A"/>
    <w:multiLevelType w:val="hybridMultilevel"/>
    <w:tmpl w:val="8AEE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E44A3D"/>
    <w:multiLevelType w:val="hybridMultilevel"/>
    <w:tmpl w:val="8E9EE4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DA2A28"/>
    <w:multiLevelType w:val="hybridMultilevel"/>
    <w:tmpl w:val="F462D89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4A2E1425"/>
    <w:multiLevelType w:val="hybridMultilevel"/>
    <w:tmpl w:val="062632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A1679A"/>
    <w:multiLevelType w:val="hybridMultilevel"/>
    <w:tmpl w:val="0B14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81395"/>
    <w:multiLevelType w:val="hybridMultilevel"/>
    <w:tmpl w:val="C0C2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FA5463"/>
    <w:multiLevelType w:val="hybridMultilevel"/>
    <w:tmpl w:val="2410D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F326A"/>
    <w:multiLevelType w:val="hybridMultilevel"/>
    <w:tmpl w:val="B1DC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AE551F"/>
    <w:multiLevelType w:val="hybridMultilevel"/>
    <w:tmpl w:val="B05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DD5995"/>
    <w:multiLevelType w:val="hybridMultilevel"/>
    <w:tmpl w:val="F036E9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12"/>
  </w:num>
  <w:num w:numId="4">
    <w:abstractNumId w:val="14"/>
  </w:num>
  <w:num w:numId="5">
    <w:abstractNumId w:val="7"/>
  </w:num>
  <w:num w:numId="6">
    <w:abstractNumId w:val="9"/>
  </w:num>
  <w:num w:numId="7">
    <w:abstractNumId w:val="11"/>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6"/>
  </w:num>
  <w:num w:numId="12">
    <w:abstractNumId w:val="8"/>
  </w:num>
  <w:num w:numId="13">
    <w:abstractNumId w:val="10"/>
  </w:num>
  <w:num w:numId="14">
    <w:abstractNumId w:val="2"/>
  </w:num>
  <w:num w:numId="15">
    <w:abstractNumId w:val="13"/>
  </w:num>
  <w:num w:numId="16">
    <w:abstractNumId w:val="15"/>
  </w:num>
  <w:num w:numId="17">
    <w:abstractNumId w:val="1"/>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2F"/>
    <w:rsid w:val="000017D5"/>
    <w:rsid w:val="0000258D"/>
    <w:rsid w:val="00003CFE"/>
    <w:rsid w:val="00004C63"/>
    <w:rsid w:val="00016825"/>
    <w:rsid w:val="00017275"/>
    <w:rsid w:val="00022524"/>
    <w:rsid w:val="00023D16"/>
    <w:rsid w:val="000240A2"/>
    <w:rsid w:val="00024566"/>
    <w:rsid w:val="000250BA"/>
    <w:rsid w:val="000307D3"/>
    <w:rsid w:val="00030944"/>
    <w:rsid w:val="0003108D"/>
    <w:rsid w:val="000342B1"/>
    <w:rsid w:val="00036949"/>
    <w:rsid w:val="00044306"/>
    <w:rsid w:val="000474A3"/>
    <w:rsid w:val="000508CF"/>
    <w:rsid w:val="000539E4"/>
    <w:rsid w:val="00077EB2"/>
    <w:rsid w:val="00085138"/>
    <w:rsid w:val="0009184F"/>
    <w:rsid w:val="00094F83"/>
    <w:rsid w:val="00096CDD"/>
    <w:rsid w:val="00097126"/>
    <w:rsid w:val="000A5118"/>
    <w:rsid w:val="000B2BBA"/>
    <w:rsid w:val="000B41C1"/>
    <w:rsid w:val="000B4CCF"/>
    <w:rsid w:val="000B55A1"/>
    <w:rsid w:val="000B6E2B"/>
    <w:rsid w:val="000B72FE"/>
    <w:rsid w:val="000C4490"/>
    <w:rsid w:val="000C5752"/>
    <w:rsid w:val="000D751C"/>
    <w:rsid w:val="000D7A43"/>
    <w:rsid w:val="000E2AF8"/>
    <w:rsid w:val="000E6AA2"/>
    <w:rsid w:val="000F2AC6"/>
    <w:rsid w:val="00104101"/>
    <w:rsid w:val="00104DD2"/>
    <w:rsid w:val="001051EE"/>
    <w:rsid w:val="0011130B"/>
    <w:rsid w:val="0011134B"/>
    <w:rsid w:val="00116051"/>
    <w:rsid w:val="0012045F"/>
    <w:rsid w:val="00121587"/>
    <w:rsid w:val="00122D4D"/>
    <w:rsid w:val="001234D4"/>
    <w:rsid w:val="0012473C"/>
    <w:rsid w:val="001270FB"/>
    <w:rsid w:val="001322D0"/>
    <w:rsid w:val="0013411C"/>
    <w:rsid w:val="00135EE3"/>
    <w:rsid w:val="00140BFA"/>
    <w:rsid w:val="001448F6"/>
    <w:rsid w:val="00153774"/>
    <w:rsid w:val="00153C5A"/>
    <w:rsid w:val="00154FA6"/>
    <w:rsid w:val="00160C63"/>
    <w:rsid w:val="00163577"/>
    <w:rsid w:val="001642F1"/>
    <w:rsid w:val="0017102C"/>
    <w:rsid w:val="001715CE"/>
    <w:rsid w:val="001719BE"/>
    <w:rsid w:val="00171BBD"/>
    <w:rsid w:val="001721C0"/>
    <w:rsid w:val="00175BB4"/>
    <w:rsid w:val="001775DE"/>
    <w:rsid w:val="00184193"/>
    <w:rsid w:val="00195C47"/>
    <w:rsid w:val="00196F3A"/>
    <w:rsid w:val="001A33E1"/>
    <w:rsid w:val="001A3F93"/>
    <w:rsid w:val="001A4E3B"/>
    <w:rsid w:val="001A525E"/>
    <w:rsid w:val="001A6E6B"/>
    <w:rsid w:val="001B0714"/>
    <w:rsid w:val="001B333E"/>
    <w:rsid w:val="001B5711"/>
    <w:rsid w:val="001C0CF6"/>
    <w:rsid w:val="001C7CBF"/>
    <w:rsid w:val="001D0ABE"/>
    <w:rsid w:val="001D4728"/>
    <w:rsid w:val="001D709C"/>
    <w:rsid w:val="001E106B"/>
    <w:rsid w:val="001E3379"/>
    <w:rsid w:val="001E6119"/>
    <w:rsid w:val="001F22D5"/>
    <w:rsid w:val="001F396D"/>
    <w:rsid w:val="001F3CC9"/>
    <w:rsid w:val="0020601D"/>
    <w:rsid w:val="00206262"/>
    <w:rsid w:val="00206B2B"/>
    <w:rsid w:val="00210E42"/>
    <w:rsid w:val="00211C0D"/>
    <w:rsid w:val="00214053"/>
    <w:rsid w:val="00217691"/>
    <w:rsid w:val="0022101D"/>
    <w:rsid w:val="00221548"/>
    <w:rsid w:val="002226F2"/>
    <w:rsid w:val="00223F68"/>
    <w:rsid w:val="002270E9"/>
    <w:rsid w:val="002346BB"/>
    <w:rsid w:val="00236F64"/>
    <w:rsid w:val="002400D6"/>
    <w:rsid w:val="002402F5"/>
    <w:rsid w:val="0024103D"/>
    <w:rsid w:val="00243D2C"/>
    <w:rsid w:val="00244A9C"/>
    <w:rsid w:val="00253527"/>
    <w:rsid w:val="00260D44"/>
    <w:rsid w:val="002615E7"/>
    <w:rsid w:val="0026191F"/>
    <w:rsid w:val="00263AAB"/>
    <w:rsid w:val="0026668A"/>
    <w:rsid w:val="00266EFC"/>
    <w:rsid w:val="00271371"/>
    <w:rsid w:val="002716A4"/>
    <w:rsid w:val="00274364"/>
    <w:rsid w:val="00282546"/>
    <w:rsid w:val="00283599"/>
    <w:rsid w:val="00291EC6"/>
    <w:rsid w:val="002923AD"/>
    <w:rsid w:val="00294A7C"/>
    <w:rsid w:val="00295ABE"/>
    <w:rsid w:val="002A0BF8"/>
    <w:rsid w:val="002A6A97"/>
    <w:rsid w:val="002A7850"/>
    <w:rsid w:val="002B61FC"/>
    <w:rsid w:val="002B6F9C"/>
    <w:rsid w:val="002C112A"/>
    <w:rsid w:val="002C166B"/>
    <w:rsid w:val="002C230A"/>
    <w:rsid w:val="002D1F6F"/>
    <w:rsid w:val="002D6C29"/>
    <w:rsid w:val="002D7203"/>
    <w:rsid w:val="002E0502"/>
    <w:rsid w:val="002E1D4E"/>
    <w:rsid w:val="002E2666"/>
    <w:rsid w:val="002E3DEC"/>
    <w:rsid w:val="002E4331"/>
    <w:rsid w:val="002E66C9"/>
    <w:rsid w:val="002F52AB"/>
    <w:rsid w:val="002F78FB"/>
    <w:rsid w:val="00307403"/>
    <w:rsid w:val="0031012B"/>
    <w:rsid w:val="00310574"/>
    <w:rsid w:val="00311DDD"/>
    <w:rsid w:val="00312A78"/>
    <w:rsid w:val="00313CBA"/>
    <w:rsid w:val="003205AF"/>
    <w:rsid w:val="0032643E"/>
    <w:rsid w:val="00327183"/>
    <w:rsid w:val="00335578"/>
    <w:rsid w:val="00335CC2"/>
    <w:rsid w:val="00336972"/>
    <w:rsid w:val="0034389D"/>
    <w:rsid w:val="003450B5"/>
    <w:rsid w:val="00345F74"/>
    <w:rsid w:val="00346048"/>
    <w:rsid w:val="003462BC"/>
    <w:rsid w:val="00351C69"/>
    <w:rsid w:val="003620B5"/>
    <w:rsid w:val="003642D2"/>
    <w:rsid w:val="00365363"/>
    <w:rsid w:val="00386661"/>
    <w:rsid w:val="003959AB"/>
    <w:rsid w:val="0039746B"/>
    <w:rsid w:val="003A0874"/>
    <w:rsid w:val="003A2506"/>
    <w:rsid w:val="003A46ED"/>
    <w:rsid w:val="003A4D75"/>
    <w:rsid w:val="003A7F93"/>
    <w:rsid w:val="003B05FB"/>
    <w:rsid w:val="003B1ADC"/>
    <w:rsid w:val="003B26D1"/>
    <w:rsid w:val="003C23CF"/>
    <w:rsid w:val="003C2931"/>
    <w:rsid w:val="003D0529"/>
    <w:rsid w:val="003D24D0"/>
    <w:rsid w:val="003D3720"/>
    <w:rsid w:val="003D43A6"/>
    <w:rsid w:val="003D46FA"/>
    <w:rsid w:val="003D561C"/>
    <w:rsid w:val="003D5D6C"/>
    <w:rsid w:val="003E06E3"/>
    <w:rsid w:val="003E06F7"/>
    <w:rsid w:val="003E0BD3"/>
    <w:rsid w:val="003E6180"/>
    <w:rsid w:val="003E7F6F"/>
    <w:rsid w:val="003F5F85"/>
    <w:rsid w:val="004008C5"/>
    <w:rsid w:val="0040157E"/>
    <w:rsid w:val="00401DEE"/>
    <w:rsid w:val="0040494B"/>
    <w:rsid w:val="00410D69"/>
    <w:rsid w:val="00411CC8"/>
    <w:rsid w:val="00412795"/>
    <w:rsid w:val="004147C1"/>
    <w:rsid w:val="00420124"/>
    <w:rsid w:val="00420F28"/>
    <w:rsid w:val="004210FE"/>
    <w:rsid w:val="0042122F"/>
    <w:rsid w:val="00423FEC"/>
    <w:rsid w:val="00431E8F"/>
    <w:rsid w:val="0043408A"/>
    <w:rsid w:val="004351AC"/>
    <w:rsid w:val="0044047A"/>
    <w:rsid w:val="004467E8"/>
    <w:rsid w:val="00451A99"/>
    <w:rsid w:val="00451E81"/>
    <w:rsid w:val="00451EC3"/>
    <w:rsid w:val="0045557A"/>
    <w:rsid w:val="00470A3A"/>
    <w:rsid w:val="00475EBE"/>
    <w:rsid w:val="00477708"/>
    <w:rsid w:val="00481C35"/>
    <w:rsid w:val="00483CFE"/>
    <w:rsid w:val="00485BFE"/>
    <w:rsid w:val="00486999"/>
    <w:rsid w:val="00486ACA"/>
    <w:rsid w:val="00486DB5"/>
    <w:rsid w:val="004903D3"/>
    <w:rsid w:val="00493603"/>
    <w:rsid w:val="00494002"/>
    <w:rsid w:val="004A57E9"/>
    <w:rsid w:val="004A5D65"/>
    <w:rsid w:val="004A7312"/>
    <w:rsid w:val="004A7946"/>
    <w:rsid w:val="004B01C1"/>
    <w:rsid w:val="004B0CC0"/>
    <w:rsid w:val="004B2926"/>
    <w:rsid w:val="004C0019"/>
    <w:rsid w:val="004C3204"/>
    <w:rsid w:val="004C6602"/>
    <w:rsid w:val="004D26D1"/>
    <w:rsid w:val="004D5586"/>
    <w:rsid w:val="004E3242"/>
    <w:rsid w:val="004E3B3B"/>
    <w:rsid w:val="004E4181"/>
    <w:rsid w:val="004E5D83"/>
    <w:rsid w:val="004E605C"/>
    <w:rsid w:val="004F0A3C"/>
    <w:rsid w:val="004F49C0"/>
    <w:rsid w:val="004F4F85"/>
    <w:rsid w:val="00500196"/>
    <w:rsid w:val="0050066F"/>
    <w:rsid w:val="005016AB"/>
    <w:rsid w:val="00501A90"/>
    <w:rsid w:val="00504F96"/>
    <w:rsid w:val="00520F7B"/>
    <w:rsid w:val="00525152"/>
    <w:rsid w:val="005255A0"/>
    <w:rsid w:val="00533443"/>
    <w:rsid w:val="00536B9F"/>
    <w:rsid w:val="0053704E"/>
    <w:rsid w:val="00537110"/>
    <w:rsid w:val="00542061"/>
    <w:rsid w:val="005435FD"/>
    <w:rsid w:val="00546C1A"/>
    <w:rsid w:val="00551199"/>
    <w:rsid w:val="00554D5C"/>
    <w:rsid w:val="005567AF"/>
    <w:rsid w:val="005569B4"/>
    <w:rsid w:val="00561977"/>
    <w:rsid w:val="005622A9"/>
    <w:rsid w:val="005640B0"/>
    <w:rsid w:val="005643EF"/>
    <w:rsid w:val="00564F13"/>
    <w:rsid w:val="005659AF"/>
    <w:rsid w:val="005665CD"/>
    <w:rsid w:val="0057225D"/>
    <w:rsid w:val="00581983"/>
    <w:rsid w:val="005849FC"/>
    <w:rsid w:val="00584ED2"/>
    <w:rsid w:val="00585807"/>
    <w:rsid w:val="00586918"/>
    <w:rsid w:val="0059158B"/>
    <w:rsid w:val="005A62CA"/>
    <w:rsid w:val="005A7DAD"/>
    <w:rsid w:val="005B0035"/>
    <w:rsid w:val="005B0EBF"/>
    <w:rsid w:val="005B1E4A"/>
    <w:rsid w:val="005B233A"/>
    <w:rsid w:val="005B7BAB"/>
    <w:rsid w:val="005C1655"/>
    <w:rsid w:val="005C3702"/>
    <w:rsid w:val="005C744F"/>
    <w:rsid w:val="005C7C95"/>
    <w:rsid w:val="005D3178"/>
    <w:rsid w:val="005E179A"/>
    <w:rsid w:val="005E2B59"/>
    <w:rsid w:val="005E3267"/>
    <w:rsid w:val="005E6E20"/>
    <w:rsid w:val="00601BBE"/>
    <w:rsid w:val="00602A69"/>
    <w:rsid w:val="00605E49"/>
    <w:rsid w:val="00606953"/>
    <w:rsid w:val="006100A9"/>
    <w:rsid w:val="0061111C"/>
    <w:rsid w:val="006145FF"/>
    <w:rsid w:val="006206E1"/>
    <w:rsid w:val="006235C8"/>
    <w:rsid w:val="00631861"/>
    <w:rsid w:val="00632684"/>
    <w:rsid w:val="0063576E"/>
    <w:rsid w:val="00644ACD"/>
    <w:rsid w:val="0065282B"/>
    <w:rsid w:val="006609DE"/>
    <w:rsid w:val="006626F3"/>
    <w:rsid w:val="006649A9"/>
    <w:rsid w:val="0066600E"/>
    <w:rsid w:val="006670F5"/>
    <w:rsid w:val="00667506"/>
    <w:rsid w:val="00672F4B"/>
    <w:rsid w:val="00673EC3"/>
    <w:rsid w:val="00675189"/>
    <w:rsid w:val="0067767D"/>
    <w:rsid w:val="00680D3F"/>
    <w:rsid w:val="006868ED"/>
    <w:rsid w:val="00695415"/>
    <w:rsid w:val="00696A31"/>
    <w:rsid w:val="006B2486"/>
    <w:rsid w:val="006B3F1F"/>
    <w:rsid w:val="006B7676"/>
    <w:rsid w:val="006C128D"/>
    <w:rsid w:val="006C1ED4"/>
    <w:rsid w:val="006C1FE8"/>
    <w:rsid w:val="006C386F"/>
    <w:rsid w:val="006C67EF"/>
    <w:rsid w:val="006D259A"/>
    <w:rsid w:val="006D4B5E"/>
    <w:rsid w:val="006D68FA"/>
    <w:rsid w:val="006D69E5"/>
    <w:rsid w:val="006E1177"/>
    <w:rsid w:val="006E257B"/>
    <w:rsid w:val="006E4875"/>
    <w:rsid w:val="006E661B"/>
    <w:rsid w:val="006E6CCC"/>
    <w:rsid w:val="006F025D"/>
    <w:rsid w:val="006F0A45"/>
    <w:rsid w:val="006F5789"/>
    <w:rsid w:val="007003A7"/>
    <w:rsid w:val="007018ED"/>
    <w:rsid w:val="00703601"/>
    <w:rsid w:val="0070421F"/>
    <w:rsid w:val="00717BDA"/>
    <w:rsid w:val="0072373A"/>
    <w:rsid w:val="007378AC"/>
    <w:rsid w:val="007408CC"/>
    <w:rsid w:val="007435FD"/>
    <w:rsid w:val="0074735E"/>
    <w:rsid w:val="0074769D"/>
    <w:rsid w:val="00750718"/>
    <w:rsid w:val="00753353"/>
    <w:rsid w:val="00762AFB"/>
    <w:rsid w:val="0076510E"/>
    <w:rsid w:val="007719CE"/>
    <w:rsid w:val="007723D7"/>
    <w:rsid w:val="00772611"/>
    <w:rsid w:val="00772FD4"/>
    <w:rsid w:val="007739CA"/>
    <w:rsid w:val="00780F76"/>
    <w:rsid w:val="00786A11"/>
    <w:rsid w:val="00786E51"/>
    <w:rsid w:val="00787FEE"/>
    <w:rsid w:val="007903C9"/>
    <w:rsid w:val="00791461"/>
    <w:rsid w:val="00794607"/>
    <w:rsid w:val="00795948"/>
    <w:rsid w:val="007A5460"/>
    <w:rsid w:val="007A602B"/>
    <w:rsid w:val="007B3624"/>
    <w:rsid w:val="007C28D2"/>
    <w:rsid w:val="007C28E9"/>
    <w:rsid w:val="007D325D"/>
    <w:rsid w:val="007D5987"/>
    <w:rsid w:val="007E0F88"/>
    <w:rsid w:val="007F4992"/>
    <w:rsid w:val="007F5F81"/>
    <w:rsid w:val="007F7057"/>
    <w:rsid w:val="00800A4C"/>
    <w:rsid w:val="0080107C"/>
    <w:rsid w:val="00801145"/>
    <w:rsid w:val="00803B2A"/>
    <w:rsid w:val="00811106"/>
    <w:rsid w:val="00812B8C"/>
    <w:rsid w:val="008163AA"/>
    <w:rsid w:val="00817F7C"/>
    <w:rsid w:val="0083039A"/>
    <w:rsid w:val="008311A0"/>
    <w:rsid w:val="008348CD"/>
    <w:rsid w:val="00837FEA"/>
    <w:rsid w:val="00842107"/>
    <w:rsid w:val="00842759"/>
    <w:rsid w:val="0084478A"/>
    <w:rsid w:val="00854A4F"/>
    <w:rsid w:val="00856580"/>
    <w:rsid w:val="00861050"/>
    <w:rsid w:val="00863ABC"/>
    <w:rsid w:val="0087050E"/>
    <w:rsid w:val="0087129D"/>
    <w:rsid w:val="0087337D"/>
    <w:rsid w:val="00876F7D"/>
    <w:rsid w:val="0087786E"/>
    <w:rsid w:val="008818F4"/>
    <w:rsid w:val="0088705B"/>
    <w:rsid w:val="00892102"/>
    <w:rsid w:val="008949CF"/>
    <w:rsid w:val="00895F9F"/>
    <w:rsid w:val="00896383"/>
    <w:rsid w:val="008A1EFC"/>
    <w:rsid w:val="008A467F"/>
    <w:rsid w:val="008A5BDA"/>
    <w:rsid w:val="008A74BA"/>
    <w:rsid w:val="008A758C"/>
    <w:rsid w:val="008B021B"/>
    <w:rsid w:val="008B099B"/>
    <w:rsid w:val="008B4B87"/>
    <w:rsid w:val="008B5E34"/>
    <w:rsid w:val="008B6774"/>
    <w:rsid w:val="008C337B"/>
    <w:rsid w:val="008C6049"/>
    <w:rsid w:val="008C6617"/>
    <w:rsid w:val="008D1772"/>
    <w:rsid w:val="008D2380"/>
    <w:rsid w:val="008E06AB"/>
    <w:rsid w:val="008E2C27"/>
    <w:rsid w:val="008E3732"/>
    <w:rsid w:val="008E430B"/>
    <w:rsid w:val="009037A0"/>
    <w:rsid w:val="00911B48"/>
    <w:rsid w:val="00913E86"/>
    <w:rsid w:val="00916849"/>
    <w:rsid w:val="00924075"/>
    <w:rsid w:val="00926EA8"/>
    <w:rsid w:val="0092747F"/>
    <w:rsid w:val="00945BEE"/>
    <w:rsid w:val="00946972"/>
    <w:rsid w:val="009508C1"/>
    <w:rsid w:val="00951FA6"/>
    <w:rsid w:val="00954EC8"/>
    <w:rsid w:val="009556C9"/>
    <w:rsid w:val="00957A60"/>
    <w:rsid w:val="00960966"/>
    <w:rsid w:val="00961DC1"/>
    <w:rsid w:val="00961E1D"/>
    <w:rsid w:val="00965379"/>
    <w:rsid w:val="0096753B"/>
    <w:rsid w:val="00972143"/>
    <w:rsid w:val="00974481"/>
    <w:rsid w:val="00982E1F"/>
    <w:rsid w:val="009873E6"/>
    <w:rsid w:val="009900CC"/>
    <w:rsid w:val="0099140D"/>
    <w:rsid w:val="00991FF1"/>
    <w:rsid w:val="00995B35"/>
    <w:rsid w:val="009A0608"/>
    <w:rsid w:val="009A2450"/>
    <w:rsid w:val="009A521E"/>
    <w:rsid w:val="009A7017"/>
    <w:rsid w:val="009B0DD5"/>
    <w:rsid w:val="009B3A41"/>
    <w:rsid w:val="009B41C2"/>
    <w:rsid w:val="009C2F92"/>
    <w:rsid w:val="009C43F2"/>
    <w:rsid w:val="009D2008"/>
    <w:rsid w:val="009D420B"/>
    <w:rsid w:val="009D4260"/>
    <w:rsid w:val="009D55A3"/>
    <w:rsid w:val="009F25BB"/>
    <w:rsid w:val="009F38A7"/>
    <w:rsid w:val="00A001A0"/>
    <w:rsid w:val="00A02542"/>
    <w:rsid w:val="00A03266"/>
    <w:rsid w:val="00A05CA7"/>
    <w:rsid w:val="00A16D8C"/>
    <w:rsid w:val="00A20382"/>
    <w:rsid w:val="00A26E07"/>
    <w:rsid w:val="00A27943"/>
    <w:rsid w:val="00A31147"/>
    <w:rsid w:val="00A32A76"/>
    <w:rsid w:val="00A35394"/>
    <w:rsid w:val="00A4274C"/>
    <w:rsid w:val="00A42E87"/>
    <w:rsid w:val="00A43104"/>
    <w:rsid w:val="00A43C4B"/>
    <w:rsid w:val="00A452AE"/>
    <w:rsid w:val="00A45A3A"/>
    <w:rsid w:val="00A523F8"/>
    <w:rsid w:val="00A54A04"/>
    <w:rsid w:val="00A60D06"/>
    <w:rsid w:val="00A6324E"/>
    <w:rsid w:val="00A6502E"/>
    <w:rsid w:val="00A774BA"/>
    <w:rsid w:val="00A77867"/>
    <w:rsid w:val="00A8098B"/>
    <w:rsid w:val="00A8630B"/>
    <w:rsid w:val="00A87AFA"/>
    <w:rsid w:val="00A976E3"/>
    <w:rsid w:val="00AA0D84"/>
    <w:rsid w:val="00AA3484"/>
    <w:rsid w:val="00AB1FDF"/>
    <w:rsid w:val="00AC1DBF"/>
    <w:rsid w:val="00AC26CE"/>
    <w:rsid w:val="00AC2919"/>
    <w:rsid w:val="00AC2EDB"/>
    <w:rsid w:val="00AC4125"/>
    <w:rsid w:val="00AD022D"/>
    <w:rsid w:val="00AD08D7"/>
    <w:rsid w:val="00AE0059"/>
    <w:rsid w:val="00AE37B3"/>
    <w:rsid w:val="00AF051C"/>
    <w:rsid w:val="00AF280E"/>
    <w:rsid w:val="00AF2F98"/>
    <w:rsid w:val="00AF3312"/>
    <w:rsid w:val="00AF3E90"/>
    <w:rsid w:val="00AF4F02"/>
    <w:rsid w:val="00AF7F17"/>
    <w:rsid w:val="00B00FB2"/>
    <w:rsid w:val="00B04331"/>
    <w:rsid w:val="00B20726"/>
    <w:rsid w:val="00B212EB"/>
    <w:rsid w:val="00B23280"/>
    <w:rsid w:val="00B37134"/>
    <w:rsid w:val="00B433E6"/>
    <w:rsid w:val="00B51FC8"/>
    <w:rsid w:val="00B57AF2"/>
    <w:rsid w:val="00B618C1"/>
    <w:rsid w:val="00B6542F"/>
    <w:rsid w:val="00B719CA"/>
    <w:rsid w:val="00B74267"/>
    <w:rsid w:val="00B75491"/>
    <w:rsid w:val="00B756E4"/>
    <w:rsid w:val="00B76C8A"/>
    <w:rsid w:val="00B85B41"/>
    <w:rsid w:val="00B8790C"/>
    <w:rsid w:val="00B9149F"/>
    <w:rsid w:val="00B95871"/>
    <w:rsid w:val="00B96B07"/>
    <w:rsid w:val="00B97023"/>
    <w:rsid w:val="00B9738F"/>
    <w:rsid w:val="00BA5E39"/>
    <w:rsid w:val="00BA728D"/>
    <w:rsid w:val="00BB07AD"/>
    <w:rsid w:val="00BB2FED"/>
    <w:rsid w:val="00BB6C02"/>
    <w:rsid w:val="00BB76EA"/>
    <w:rsid w:val="00BC085F"/>
    <w:rsid w:val="00BC30FC"/>
    <w:rsid w:val="00BC6349"/>
    <w:rsid w:val="00BC69BB"/>
    <w:rsid w:val="00BC7275"/>
    <w:rsid w:val="00BD15A4"/>
    <w:rsid w:val="00BD5D06"/>
    <w:rsid w:val="00BD6466"/>
    <w:rsid w:val="00BE3DC0"/>
    <w:rsid w:val="00BF6DC0"/>
    <w:rsid w:val="00C00180"/>
    <w:rsid w:val="00C050BA"/>
    <w:rsid w:val="00C0565A"/>
    <w:rsid w:val="00C11D1E"/>
    <w:rsid w:val="00C2255F"/>
    <w:rsid w:val="00C30B22"/>
    <w:rsid w:val="00C3631D"/>
    <w:rsid w:val="00C405E5"/>
    <w:rsid w:val="00C424E9"/>
    <w:rsid w:val="00C428D7"/>
    <w:rsid w:val="00C43E47"/>
    <w:rsid w:val="00C44386"/>
    <w:rsid w:val="00C45A53"/>
    <w:rsid w:val="00C475E3"/>
    <w:rsid w:val="00C52372"/>
    <w:rsid w:val="00C54C9E"/>
    <w:rsid w:val="00C553C3"/>
    <w:rsid w:val="00C602EE"/>
    <w:rsid w:val="00C60B00"/>
    <w:rsid w:val="00C6136D"/>
    <w:rsid w:val="00C6160B"/>
    <w:rsid w:val="00C62FCA"/>
    <w:rsid w:val="00C641E2"/>
    <w:rsid w:val="00C65549"/>
    <w:rsid w:val="00C67CAB"/>
    <w:rsid w:val="00C73F4B"/>
    <w:rsid w:val="00C750C0"/>
    <w:rsid w:val="00C75393"/>
    <w:rsid w:val="00C75D64"/>
    <w:rsid w:val="00C7686B"/>
    <w:rsid w:val="00C86824"/>
    <w:rsid w:val="00C86BB9"/>
    <w:rsid w:val="00C91004"/>
    <w:rsid w:val="00C93687"/>
    <w:rsid w:val="00C94EC5"/>
    <w:rsid w:val="00C967E4"/>
    <w:rsid w:val="00C971A0"/>
    <w:rsid w:val="00CA04EC"/>
    <w:rsid w:val="00CA4297"/>
    <w:rsid w:val="00CA4977"/>
    <w:rsid w:val="00CA5ED1"/>
    <w:rsid w:val="00CA6795"/>
    <w:rsid w:val="00CA6D96"/>
    <w:rsid w:val="00CB1176"/>
    <w:rsid w:val="00CB3B24"/>
    <w:rsid w:val="00CB50F1"/>
    <w:rsid w:val="00CC30E4"/>
    <w:rsid w:val="00CC681C"/>
    <w:rsid w:val="00CD1F3F"/>
    <w:rsid w:val="00CD4700"/>
    <w:rsid w:val="00CD7A2C"/>
    <w:rsid w:val="00CE1836"/>
    <w:rsid w:val="00CE22B6"/>
    <w:rsid w:val="00CF2BAA"/>
    <w:rsid w:val="00CF6B5F"/>
    <w:rsid w:val="00D06B84"/>
    <w:rsid w:val="00D11E72"/>
    <w:rsid w:val="00D1346C"/>
    <w:rsid w:val="00D1354A"/>
    <w:rsid w:val="00D164DB"/>
    <w:rsid w:val="00D17759"/>
    <w:rsid w:val="00D22423"/>
    <w:rsid w:val="00D25FDE"/>
    <w:rsid w:val="00D3151D"/>
    <w:rsid w:val="00D3412F"/>
    <w:rsid w:val="00D42E69"/>
    <w:rsid w:val="00D4429A"/>
    <w:rsid w:val="00D450DF"/>
    <w:rsid w:val="00D50E46"/>
    <w:rsid w:val="00D50EC1"/>
    <w:rsid w:val="00D511BC"/>
    <w:rsid w:val="00D51E63"/>
    <w:rsid w:val="00D55456"/>
    <w:rsid w:val="00D57057"/>
    <w:rsid w:val="00D57ED0"/>
    <w:rsid w:val="00D627CB"/>
    <w:rsid w:val="00D64105"/>
    <w:rsid w:val="00D71DCF"/>
    <w:rsid w:val="00D73508"/>
    <w:rsid w:val="00D80269"/>
    <w:rsid w:val="00D82F00"/>
    <w:rsid w:val="00D84111"/>
    <w:rsid w:val="00D90021"/>
    <w:rsid w:val="00D9069F"/>
    <w:rsid w:val="00D92624"/>
    <w:rsid w:val="00D92C00"/>
    <w:rsid w:val="00D94B4E"/>
    <w:rsid w:val="00D960BB"/>
    <w:rsid w:val="00D96691"/>
    <w:rsid w:val="00DA36A7"/>
    <w:rsid w:val="00DB00AA"/>
    <w:rsid w:val="00DB4203"/>
    <w:rsid w:val="00DB4730"/>
    <w:rsid w:val="00DB61D0"/>
    <w:rsid w:val="00DB6EBD"/>
    <w:rsid w:val="00DC010E"/>
    <w:rsid w:val="00DC3902"/>
    <w:rsid w:val="00DC5789"/>
    <w:rsid w:val="00DC5C7A"/>
    <w:rsid w:val="00DC6183"/>
    <w:rsid w:val="00DC6E68"/>
    <w:rsid w:val="00DC792E"/>
    <w:rsid w:val="00DC79EF"/>
    <w:rsid w:val="00DD0245"/>
    <w:rsid w:val="00DE57DD"/>
    <w:rsid w:val="00DE625A"/>
    <w:rsid w:val="00DF1C02"/>
    <w:rsid w:val="00DF2920"/>
    <w:rsid w:val="00DF36CE"/>
    <w:rsid w:val="00DF3ED9"/>
    <w:rsid w:val="00E00982"/>
    <w:rsid w:val="00E00BF5"/>
    <w:rsid w:val="00E0130B"/>
    <w:rsid w:val="00E03F82"/>
    <w:rsid w:val="00E10513"/>
    <w:rsid w:val="00E11071"/>
    <w:rsid w:val="00E11E71"/>
    <w:rsid w:val="00E13254"/>
    <w:rsid w:val="00E1476A"/>
    <w:rsid w:val="00E15521"/>
    <w:rsid w:val="00E17100"/>
    <w:rsid w:val="00E2188B"/>
    <w:rsid w:val="00E269FE"/>
    <w:rsid w:val="00E36A1C"/>
    <w:rsid w:val="00E40402"/>
    <w:rsid w:val="00E41545"/>
    <w:rsid w:val="00E41E30"/>
    <w:rsid w:val="00E459DE"/>
    <w:rsid w:val="00E45C64"/>
    <w:rsid w:val="00E53B75"/>
    <w:rsid w:val="00E54060"/>
    <w:rsid w:val="00E54FD6"/>
    <w:rsid w:val="00E60E4F"/>
    <w:rsid w:val="00E75D3E"/>
    <w:rsid w:val="00E75E7C"/>
    <w:rsid w:val="00E76A5D"/>
    <w:rsid w:val="00E828AC"/>
    <w:rsid w:val="00E92EC4"/>
    <w:rsid w:val="00E93837"/>
    <w:rsid w:val="00E93C20"/>
    <w:rsid w:val="00E93EA0"/>
    <w:rsid w:val="00E9522C"/>
    <w:rsid w:val="00E954D9"/>
    <w:rsid w:val="00E97A1D"/>
    <w:rsid w:val="00EA2874"/>
    <w:rsid w:val="00EA289A"/>
    <w:rsid w:val="00EA3005"/>
    <w:rsid w:val="00EA4E81"/>
    <w:rsid w:val="00EB12A4"/>
    <w:rsid w:val="00EB2A2F"/>
    <w:rsid w:val="00EB3121"/>
    <w:rsid w:val="00EB4667"/>
    <w:rsid w:val="00EB4D89"/>
    <w:rsid w:val="00EB7997"/>
    <w:rsid w:val="00EC1E92"/>
    <w:rsid w:val="00EC3EEF"/>
    <w:rsid w:val="00ED03F8"/>
    <w:rsid w:val="00ED0D50"/>
    <w:rsid w:val="00ED28BD"/>
    <w:rsid w:val="00EE0493"/>
    <w:rsid w:val="00EE08C3"/>
    <w:rsid w:val="00EE348F"/>
    <w:rsid w:val="00EE39EB"/>
    <w:rsid w:val="00EE5B4B"/>
    <w:rsid w:val="00EE5C6E"/>
    <w:rsid w:val="00EF08CC"/>
    <w:rsid w:val="00EF5000"/>
    <w:rsid w:val="00F01529"/>
    <w:rsid w:val="00F02FE1"/>
    <w:rsid w:val="00F0733E"/>
    <w:rsid w:val="00F0767D"/>
    <w:rsid w:val="00F11634"/>
    <w:rsid w:val="00F16549"/>
    <w:rsid w:val="00F17C9F"/>
    <w:rsid w:val="00F21F3C"/>
    <w:rsid w:val="00F3056A"/>
    <w:rsid w:val="00F3108C"/>
    <w:rsid w:val="00F3148B"/>
    <w:rsid w:val="00F42210"/>
    <w:rsid w:val="00F45194"/>
    <w:rsid w:val="00F46EBD"/>
    <w:rsid w:val="00F50308"/>
    <w:rsid w:val="00F52463"/>
    <w:rsid w:val="00F52E97"/>
    <w:rsid w:val="00F55EB1"/>
    <w:rsid w:val="00F601B1"/>
    <w:rsid w:val="00F603D2"/>
    <w:rsid w:val="00F809F4"/>
    <w:rsid w:val="00F81B1F"/>
    <w:rsid w:val="00F81EA6"/>
    <w:rsid w:val="00F866B3"/>
    <w:rsid w:val="00F87427"/>
    <w:rsid w:val="00F8787D"/>
    <w:rsid w:val="00F90696"/>
    <w:rsid w:val="00F952E3"/>
    <w:rsid w:val="00F9732D"/>
    <w:rsid w:val="00FA0B9B"/>
    <w:rsid w:val="00FA18D1"/>
    <w:rsid w:val="00FA1DD1"/>
    <w:rsid w:val="00FA524F"/>
    <w:rsid w:val="00FB4138"/>
    <w:rsid w:val="00FB4CFC"/>
    <w:rsid w:val="00FB7B84"/>
    <w:rsid w:val="00FC133D"/>
    <w:rsid w:val="00FE109F"/>
    <w:rsid w:val="00FE1B65"/>
    <w:rsid w:val="00FE5825"/>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C42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4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4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24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4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4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4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42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A2F"/>
    <w:pPr>
      <w:tabs>
        <w:tab w:val="center" w:pos="4320"/>
        <w:tab w:val="right" w:pos="8640"/>
      </w:tabs>
    </w:pPr>
    <w:rPr>
      <w:sz w:val="24"/>
    </w:rPr>
  </w:style>
  <w:style w:type="paragraph" w:styleId="Footer">
    <w:name w:val="footer"/>
    <w:basedOn w:val="Normal"/>
    <w:rsid w:val="00EB2A2F"/>
    <w:pPr>
      <w:tabs>
        <w:tab w:val="center" w:pos="4320"/>
        <w:tab w:val="right" w:pos="8640"/>
      </w:tabs>
    </w:pPr>
  </w:style>
  <w:style w:type="table" w:styleId="TableGrid">
    <w:name w:val="Table Grid"/>
    <w:basedOn w:val="TableNormal"/>
    <w:rsid w:val="00EB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A2F"/>
  </w:style>
  <w:style w:type="character" w:styleId="CommentReference">
    <w:name w:val="annotation reference"/>
    <w:basedOn w:val="DefaultParagraphFont"/>
    <w:semiHidden/>
    <w:rsid w:val="00EB2A2F"/>
    <w:rPr>
      <w:sz w:val="16"/>
      <w:szCs w:val="16"/>
    </w:rPr>
  </w:style>
  <w:style w:type="paragraph" w:styleId="CommentText">
    <w:name w:val="annotation text"/>
    <w:basedOn w:val="Normal"/>
    <w:link w:val="CommentTextChar"/>
    <w:semiHidden/>
    <w:rsid w:val="00EB2A2F"/>
  </w:style>
  <w:style w:type="paragraph" w:styleId="BalloonText">
    <w:name w:val="Balloon Text"/>
    <w:basedOn w:val="Normal"/>
    <w:semiHidden/>
    <w:rsid w:val="00EB2A2F"/>
    <w:rPr>
      <w:rFonts w:ascii="Tahoma" w:hAnsi="Tahoma" w:cs="Tahoma"/>
      <w:sz w:val="16"/>
      <w:szCs w:val="16"/>
    </w:rPr>
  </w:style>
  <w:style w:type="paragraph" w:styleId="NormalWeb">
    <w:name w:val="Normal (Web)"/>
    <w:basedOn w:val="Normal"/>
    <w:rsid w:val="007003A7"/>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fault">
    <w:name w:val="Default"/>
    <w:rsid w:val="006145FF"/>
    <w:pPr>
      <w:autoSpaceDE w:val="0"/>
      <w:autoSpaceDN w:val="0"/>
      <w:adjustRightInd w:val="0"/>
    </w:pPr>
    <w:rPr>
      <w:rFonts w:ascii="Arial" w:hAnsi="Arial" w:cs="Arial"/>
      <w:color w:val="000000"/>
      <w:sz w:val="24"/>
      <w:szCs w:val="24"/>
    </w:rPr>
  </w:style>
  <w:style w:type="paragraph" w:styleId="BodyTextIndent2">
    <w:name w:val="Body Text Indent 2"/>
    <w:basedOn w:val="Normal"/>
    <w:rsid w:val="00B756E4"/>
    <w:pPr>
      <w:widowControl w:val="0"/>
      <w:adjustRightInd w:val="0"/>
      <w:spacing w:after="120" w:line="480" w:lineRule="auto"/>
      <w:ind w:left="360"/>
      <w:jc w:val="both"/>
      <w:textAlignment w:val="baseline"/>
    </w:pPr>
  </w:style>
  <w:style w:type="character" w:styleId="Emphasis">
    <w:name w:val="Emphasis"/>
    <w:basedOn w:val="DefaultParagraphFont"/>
    <w:uiPriority w:val="20"/>
    <w:qFormat/>
    <w:rsid w:val="00C424E9"/>
    <w:rPr>
      <w:i/>
      <w:iCs/>
    </w:rPr>
  </w:style>
  <w:style w:type="character" w:customStyle="1" w:styleId="passed1">
    <w:name w:val="passed1"/>
    <w:basedOn w:val="DefaultParagraphFont"/>
    <w:rsid w:val="007D5987"/>
    <w:rPr>
      <w:b/>
      <w:bCs/>
      <w:color w:val="008000"/>
      <w:shd w:val="clear" w:color="auto" w:fill="FFFFFF"/>
    </w:rPr>
  </w:style>
  <w:style w:type="paragraph" w:styleId="Revision">
    <w:name w:val="Revision"/>
    <w:hidden/>
    <w:uiPriority w:val="99"/>
    <w:semiHidden/>
    <w:rsid w:val="008818F4"/>
  </w:style>
  <w:style w:type="paragraph" w:styleId="ListParagraph">
    <w:name w:val="List Paragraph"/>
    <w:basedOn w:val="Normal"/>
    <w:uiPriority w:val="34"/>
    <w:qFormat/>
    <w:rsid w:val="00C424E9"/>
    <w:pPr>
      <w:ind w:left="720"/>
      <w:contextualSpacing/>
    </w:pPr>
  </w:style>
  <w:style w:type="paragraph" w:styleId="Caption">
    <w:name w:val="caption"/>
    <w:basedOn w:val="Normal"/>
    <w:next w:val="Normal"/>
    <w:uiPriority w:val="35"/>
    <w:unhideWhenUsed/>
    <w:qFormat/>
    <w:rsid w:val="00C424E9"/>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rsid w:val="00D50E46"/>
    <w:rPr>
      <w:b/>
      <w:bCs/>
    </w:rPr>
  </w:style>
  <w:style w:type="character" w:customStyle="1" w:styleId="CommentTextChar">
    <w:name w:val="Comment Text Char"/>
    <w:basedOn w:val="DefaultParagraphFont"/>
    <w:link w:val="CommentText"/>
    <w:semiHidden/>
    <w:rsid w:val="00D50E46"/>
  </w:style>
  <w:style w:type="character" w:customStyle="1" w:styleId="CommentSubjectChar">
    <w:name w:val="Comment Subject Char"/>
    <w:basedOn w:val="CommentTextChar"/>
    <w:link w:val="CommentSubject"/>
    <w:rsid w:val="00D50E46"/>
  </w:style>
  <w:style w:type="character" w:customStyle="1" w:styleId="Heading1Char">
    <w:name w:val="Heading 1 Char"/>
    <w:basedOn w:val="DefaultParagraphFont"/>
    <w:link w:val="Heading1"/>
    <w:uiPriority w:val="9"/>
    <w:rsid w:val="00C42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2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4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4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24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4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24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24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424E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2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4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424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24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424E9"/>
    <w:rPr>
      <w:b/>
      <w:bCs/>
    </w:rPr>
  </w:style>
  <w:style w:type="paragraph" w:styleId="NoSpacing">
    <w:name w:val="No Spacing"/>
    <w:uiPriority w:val="1"/>
    <w:qFormat/>
    <w:rsid w:val="00C424E9"/>
    <w:pPr>
      <w:spacing w:after="0" w:line="240" w:lineRule="auto"/>
    </w:pPr>
  </w:style>
  <w:style w:type="paragraph" w:styleId="Quote">
    <w:name w:val="Quote"/>
    <w:basedOn w:val="Normal"/>
    <w:next w:val="Normal"/>
    <w:link w:val="QuoteChar"/>
    <w:uiPriority w:val="29"/>
    <w:qFormat/>
    <w:rsid w:val="00C424E9"/>
    <w:rPr>
      <w:i/>
      <w:iCs/>
      <w:color w:val="000000" w:themeColor="text1"/>
    </w:rPr>
  </w:style>
  <w:style w:type="character" w:customStyle="1" w:styleId="QuoteChar">
    <w:name w:val="Quote Char"/>
    <w:basedOn w:val="DefaultParagraphFont"/>
    <w:link w:val="Quote"/>
    <w:uiPriority w:val="29"/>
    <w:rsid w:val="00C424E9"/>
    <w:rPr>
      <w:i/>
      <w:iCs/>
      <w:color w:val="000000" w:themeColor="text1"/>
    </w:rPr>
  </w:style>
  <w:style w:type="paragraph" w:styleId="IntenseQuote">
    <w:name w:val="Intense Quote"/>
    <w:basedOn w:val="Normal"/>
    <w:next w:val="Normal"/>
    <w:link w:val="IntenseQuoteChar"/>
    <w:uiPriority w:val="30"/>
    <w:qFormat/>
    <w:rsid w:val="00C424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424E9"/>
    <w:rPr>
      <w:b/>
      <w:bCs/>
      <w:i/>
      <w:iCs/>
      <w:color w:val="4F81BD" w:themeColor="accent1"/>
    </w:rPr>
  </w:style>
  <w:style w:type="character" w:styleId="SubtleEmphasis">
    <w:name w:val="Subtle Emphasis"/>
    <w:basedOn w:val="DefaultParagraphFont"/>
    <w:uiPriority w:val="19"/>
    <w:qFormat/>
    <w:rsid w:val="00C424E9"/>
    <w:rPr>
      <w:i/>
      <w:iCs/>
      <w:color w:val="808080" w:themeColor="text1" w:themeTint="7F"/>
    </w:rPr>
  </w:style>
  <w:style w:type="character" w:styleId="IntenseEmphasis">
    <w:name w:val="Intense Emphasis"/>
    <w:basedOn w:val="DefaultParagraphFont"/>
    <w:uiPriority w:val="21"/>
    <w:qFormat/>
    <w:rsid w:val="00C424E9"/>
    <w:rPr>
      <w:b/>
      <w:bCs/>
      <w:i/>
      <w:iCs/>
      <w:color w:val="4F81BD" w:themeColor="accent1"/>
    </w:rPr>
  </w:style>
  <w:style w:type="character" w:styleId="SubtleReference">
    <w:name w:val="Subtle Reference"/>
    <w:basedOn w:val="DefaultParagraphFont"/>
    <w:uiPriority w:val="31"/>
    <w:qFormat/>
    <w:rsid w:val="00C424E9"/>
    <w:rPr>
      <w:smallCaps/>
      <w:color w:val="C0504D" w:themeColor="accent2"/>
      <w:u w:val="single"/>
    </w:rPr>
  </w:style>
  <w:style w:type="character" w:styleId="IntenseReference">
    <w:name w:val="Intense Reference"/>
    <w:basedOn w:val="DefaultParagraphFont"/>
    <w:uiPriority w:val="32"/>
    <w:qFormat/>
    <w:rsid w:val="00C424E9"/>
    <w:rPr>
      <w:b/>
      <w:bCs/>
      <w:smallCaps/>
      <w:color w:val="C0504D" w:themeColor="accent2"/>
      <w:spacing w:val="5"/>
      <w:u w:val="single"/>
    </w:rPr>
  </w:style>
  <w:style w:type="character" w:styleId="BookTitle">
    <w:name w:val="Book Title"/>
    <w:basedOn w:val="DefaultParagraphFont"/>
    <w:uiPriority w:val="33"/>
    <w:qFormat/>
    <w:rsid w:val="00C424E9"/>
    <w:rPr>
      <w:b/>
      <w:bCs/>
      <w:smallCaps/>
      <w:spacing w:val="5"/>
    </w:rPr>
  </w:style>
  <w:style w:type="paragraph" w:styleId="TOCHeading">
    <w:name w:val="TOC Heading"/>
    <w:basedOn w:val="Heading1"/>
    <w:next w:val="Normal"/>
    <w:uiPriority w:val="39"/>
    <w:semiHidden/>
    <w:unhideWhenUsed/>
    <w:qFormat/>
    <w:rsid w:val="00C424E9"/>
    <w:pPr>
      <w:outlineLvl w:val="9"/>
    </w:pPr>
  </w:style>
  <w:style w:type="table" w:styleId="Table3Deffects1">
    <w:name w:val="Table 3D effects 1"/>
    <w:basedOn w:val="TableNormal"/>
    <w:rsid w:val="00C97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C971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E76A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E33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370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rsid w:val="001775DE"/>
    <w:pPr>
      <w:spacing w:after="0" w:line="240" w:lineRule="auto"/>
    </w:pPr>
    <w:rPr>
      <w:sz w:val="20"/>
      <w:szCs w:val="20"/>
    </w:rPr>
  </w:style>
  <w:style w:type="character" w:customStyle="1" w:styleId="FootnoteTextChar">
    <w:name w:val="Footnote Text Char"/>
    <w:basedOn w:val="DefaultParagraphFont"/>
    <w:link w:val="FootnoteText"/>
    <w:rsid w:val="001775DE"/>
    <w:rPr>
      <w:sz w:val="20"/>
      <w:szCs w:val="20"/>
    </w:rPr>
  </w:style>
  <w:style w:type="character" w:styleId="FootnoteReference">
    <w:name w:val="footnote reference"/>
    <w:basedOn w:val="DefaultParagraphFont"/>
    <w:rsid w:val="001775DE"/>
    <w:rPr>
      <w:vertAlign w:val="superscript"/>
    </w:rPr>
  </w:style>
  <w:style w:type="paragraph" w:styleId="DocumentMap">
    <w:name w:val="Document Map"/>
    <w:basedOn w:val="Normal"/>
    <w:link w:val="DocumentMapChar"/>
    <w:rsid w:val="00BB2F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B2F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C42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24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424E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424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24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424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24E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424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A2F"/>
    <w:pPr>
      <w:tabs>
        <w:tab w:val="center" w:pos="4320"/>
        <w:tab w:val="right" w:pos="8640"/>
      </w:tabs>
    </w:pPr>
    <w:rPr>
      <w:sz w:val="24"/>
    </w:rPr>
  </w:style>
  <w:style w:type="paragraph" w:styleId="Footer">
    <w:name w:val="footer"/>
    <w:basedOn w:val="Normal"/>
    <w:rsid w:val="00EB2A2F"/>
    <w:pPr>
      <w:tabs>
        <w:tab w:val="center" w:pos="4320"/>
        <w:tab w:val="right" w:pos="8640"/>
      </w:tabs>
    </w:pPr>
  </w:style>
  <w:style w:type="table" w:styleId="TableGrid">
    <w:name w:val="Table Grid"/>
    <w:basedOn w:val="TableNormal"/>
    <w:rsid w:val="00EB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2A2F"/>
  </w:style>
  <w:style w:type="character" w:styleId="CommentReference">
    <w:name w:val="annotation reference"/>
    <w:basedOn w:val="DefaultParagraphFont"/>
    <w:semiHidden/>
    <w:rsid w:val="00EB2A2F"/>
    <w:rPr>
      <w:sz w:val="16"/>
      <w:szCs w:val="16"/>
    </w:rPr>
  </w:style>
  <w:style w:type="paragraph" w:styleId="CommentText">
    <w:name w:val="annotation text"/>
    <w:basedOn w:val="Normal"/>
    <w:link w:val="CommentTextChar"/>
    <w:semiHidden/>
    <w:rsid w:val="00EB2A2F"/>
  </w:style>
  <w:style w:type="paragraph" w:styleId="BalloonText">
    <w:name w:val="Balloon Text"/>
    <w:basedOn w:val="Normal"/>
    <w:semiHidden/>
    <w:rsid w:val="00EB2A2F"/>
    <w:rPr>
      <w:rFonts w:ascii="Tahoma" w:hAnsi="Tahoma" w:cs="Tahoma"/>
      <w:sz w:val="16"/>
      <w:szCs w:val="16"/>
    </w:rPr>
  </w:style>
  <w:style w:type="paragraph" w:styleId="NormalWeb">
    <w:name w:val="Normal (Web)"/>
    <w:basedOn w:val="Normal"/>
    <w:rsid w:val="007003A7"/>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fault">
    <w:name w:val="Default"/>
    <w:rsid w:val="006145FF"/>
    <w:pPr>
      <w:autoSpaceDE w:val="0"/>
      <w:autoSpaceDN w:val="0"/>
      <w:adjustRightInd w:val="0"/>
    </w:pPr>
    <w:rPr>
      <w:rFonts w:ascii="Arial" w:hAnsi="Arial" w:cs="Arial"/>
      <w:color w:val="000000"/>
      <w:sz w:val="24"/>
      <w:szCs w:val="24"/>
    </w:rPr>
  </w:style>
  <w:style w:type="paragraph" w:styleId="BodyTextIndent2">
    <w:name w:val="Body Text Indent 2"/>
    <w:basedOn w:val="Normal"/>
    <w:rsid w:val="00B756E4"/>
    <w:pPr>
      <w:widowControl w:val="0"/>
      <w:adjustRightInd w:val="0"/>
      <w:spacing w:after="120" w:line="480" w:lineRule="auto"/>
      <w:ind w:left="360"/>
      <w:jc w:val="both"/>
      <w:textAlignment w:val="baseline"/>
    </w:pPr>
  </w:style>
  <w:style w:type="character" w:styleId="Emphasis">
    <w:name w:val="Emphasis"/>
    <w:basedOn w:val="DefaultParagraphFont"/>
    <w:uiPriority w:val="20"/>
    <w:qFormat/>
    <w:rsid w:val="00C424E9"/>
    <w:rPr>
      <w:i/>
      <w:iCs/>
    </w:rPr>
  </w:style>
  <w:style w:type="character" w:customStyle="1" w:styleId="passed1">
    <w:name w:val="passed1"/>
    <w:basedOn w:val="DefaultParagraphFont"/>
    <w:rsid w:val="007D5987"/>
    <w:rPr>
      <w:b/>
      <w:bCs/>
      <w:color w:val="008000"/>
      <w:shd w:val="clear" w:color="auto" w:fill="FFFFFF"/>
    </w:rPr>
  </w:style>
  <w:style w:type="paragraph" w:styleId="Revision">
    <w:name w:val="Revision"/>
    <w:hidden/>
    <w:uiPriority w:val="99"/>
    <w:semiHidden/>
    <w:rsid w:val="008818F4"/>
  </w:style>
  <w:style w:type="paragraph" w:styleId="ListParagraph">
    <w:name w:val="List Paragraph"/>
    <w:basedOn w:val="Normal"/>
    <w:uiPriority w:val="34"/>
    <w:qFormat/>
    <w:rsid w:val="00C424E9"/>
    <w:pPr>
      <w:ind w:left="720"/>
      <w:contextualSpacing/>
    </w:pPr>
  </w:style>
  <w:style w:type="paragraph" w:styleId="Caption">
    <w:name w:val="caption"/>
    <w:basedOn w:val="Normal"/>
    <w:next w:val="Normal"/>
    <w:uiPriority w:val="35"/>
    <w:unhideWhenUsed/>
    <w:qFormat/>
    <w:rsid w:val="00C424E9"/>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rsid w:val="00D50E46"/>
    <w:rPr>
      <w:b/>
      <w:bCs/>
    </w:rPr>
  </w:style>
  <w:style w:type="character" w:customStyle="1" w:styleId="CommentTextChar">
    <w:name w:val="Comment Text Char"/>
    <w:basedOn w:val="DefaultParagraphFont"/>
    <w:link w:val="CommentText"/>
    <w:semiHidden/>
    <w:rsid w:val="00D50E46"/>
  </w:style>
  <w:style w:type="character" w:customStyle="1" w:styleId="CommentSubjectChar">
    <w:name w:val="Comment Subject Char"/>
    <w:basedOn w:val="CommentTextChar"/>
    <w:link w:val="CommentSubject"/>
    <w:rsid w:val="00D50E46"/>
  </w:style>
  <w:style w:type="character" w:customStyle="1" w:styleId="Heading1Char">
    <w:name w:val="Heading 1 Char"/>
    <w:basedOn w:val="DefaultParagraphFont"/>
    <w:link w:val="Heading1"/>
    <w:uiPriority w:val="9"/>
    <w:rsid w:val="00C42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2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24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424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424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424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424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424E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424E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42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4E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424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24E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424E9"/>
    <w:rPr>
      <w:b/>
      <w:bCs/>
    </w:rPr>
  </w:style>
  <w:style w:type="paragraph" w:styleId="NoSpacing">
    <w:name w:val="No Spacing"/>
    <w:uiPriority w:val="1"/>
    <w:qFormat/>
    <w:rsid w:val="00C424E9"/>
    <w:pPr>
      <w:spacing w:after="0" w:line="240" w:lineRule="auto"/>
    </w:pPr>
  </w:style>
  <w:style w:type="paragraph" w:styleId="Quote">
    <w:name w:val="Quote"/>
    <w:basedOn w:val="Normal"/>
    <w:next w:val="Normal"/>
    <w:link w:val="QuoteChar"/>
    <w:uiPriority w:val="29"/>
    <w:qFormat/>
    <w:rsid w:val="00C424E9"/>
    <w:rPr>
      <w:i/>
      <w:iCs/>
      <w:color w:val="000000" w:themeColor="text1"/>
    </w:rPr>
  </w:style>
  <w:style w:type="character" w:customStyle="1" w:styleId="QuoteChar">
    <w:name w:val="Quote Char"/>
    <w:basedOn w:val="DefaultParagraphFont"/>
    <w:link w:val="Quote"/>
    <w:uiPriority w:val="29"/>
    <w:rsid w:val="00C424E9"/>
    <w:rPr>
      <w:i/>
      <w:iCs/>
      <w:color w:val="000000" w:themeColor="text1"/>
    </w:rPr>
  </w:style>
  <w:style w:type="paragraph" w:styleId="IntenseQuote">
    <w:name w:val="Intense Quote"/>
    <w:basedOn w:val="Normal"/>
    <w:next w:val="Normal"/>
    <w:link w:val="IntenseQuoteChar"/>
    <w:uiPriority w:val="30"/>
    <w:qFormat/>
    <w:rsid w:val="00C424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424E9"/>
    <w:rPr>
      <w:b/>
      <w:bCs/>
      <w:i/>
      <w:iCs/>
      <w:color w:val="4F81BD" w:themeColor="accent1"/>
    </w:rPr>
  </w:style>
  <w:style w:type="character" w:styleId="SubtleEmphasis">
    <w:name w:val="Subtle Emphasis"/>
    <w:basedOn w:val="DefaultParagraphFont"/>
    <w:uiPriority w:val="19"/>
    <w:qFormat/>
    <w:rsid w:val="00C424E9"/>
    <w:rPr>
      <w:i/>
      <w:iCs/>
      <w:color w:val="808080" w:themeColor="text1" w:themeTint="7F"/>
    </w:rPr>
  </w:style>
  <w:style w:type="character" w:styleId="IntenseEmphasis">
    <w:name w:val="Intense Emphasis"/>
    <w:basedOn w:val="DefaultParagraphFont"/>
    <w:uiPriority w:val="21"/>
    <w:qFormat/>
    <w:rsid w:val="00C424E9"/>
    <w:rPr>
      <w:b/>
      <w:bCs/>
      <w:i/>
      <w:iCs/>
      <w:color w:val="4F81BD" w:themeColor="accent1"/>
    </w:rPr>
  </w:style>
  <w:style w:type="character" w:styleId="SubtleReference">
    <w:name w:val="Subtle Reference"/>
    <w:basedOn w:val="DefaultParagraphFont"/>
    <w:uiPriority w:val="31"/>
    <w:qFormat/>
    <w:rsid w:val="00C424E9"/>
    <w:rPr>
      <w:smallCaps/>
      <w:color w:val="C0504D" w:themeColor="accent2"/>
      <w:u w:val="single"/>
    </w:rPr>
  </w:style>
  <w:style w:type="character" w:styleId="IntenseReference">
    <w:name w:val="Intense Reference"/>
    <w:basedOn w:val="DefaultParagraphFont"/>
    <w:uiPriority w:val="32"/>
    <w:qFormat/>
    <w:rsid w:val="00C424E9"/>
    <w:rPr>
      <w:b/>
      <w:bCs/>
      <w:smallCaps/>
      <w:color w:val="C0504D" w:themeColor="accent2"/>
      <w:spacing w:val="5"/>
      <w:u w:val="single"/>
    </w:rPr>
  </w:style>
  <w:style w:type="character" w:styleId="BookTitle">
    <w:name w:val="Book Title"/>
    <w:basedOn w:val="DefaultParagraphFont"/>
    <w:uiPriority w:val="33"/>
    <w:qFormat/>
    <w:rsid w:val="00C424E9"/>
    <w:rPr>
      <w:b/>
      <w:bCs/>
      <w:smallCaps/>
      <w:spacing w:val="5"/>
    </w:rPr>
  </w:style>
  <w:style w:type="paragraph" w:styleId="TOCHeading">
    <w:name w:val="TOC Heading"/>
    <w:basedOn w:val="Heading1"/>
    <w:next w:val="Normal"/>
    <w:uiPriority w:val="39"/>
    <w:semiHidden/>
    <w:unhideWhenUsed/>
    <w:qFormat/>
    <w:rsid w:val="00C424E9"/>
    <w:pPr>
      <w:outlineLvl w:val="9"/>
    </w:pPr>
  </w:style>
  <w:style w:type="table" w:styleId="Table3Deffects1">
    <w:name w:val="Table 3D effects 1"/>
    <w:basedOn w:val="TableNormal"/>
    <w:rsid w:val="00C971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C971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E76A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List-Accent11">
    <w:name w:val="Light List - Accent 11"/>
    <w:basedOn w:val="TableNormal"/>
    <w:uiPriority w:val="61"/>
    <w:rsid w:val="001E33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5370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rsid w:val="001775DE"/>
    <w:pPr>
      <w:spacing w:after="0" w:line="240" w:lineRule="auto"/>
    </w:pPr>
    <w:rPr>
      <w:sz w:val="20"/>
      <w:szCs w:val="20"/>
    </w:rPr>
  </w:style>
  <w:style w:type="character" w:customStyle="1" w:styleId="FootnoteTextChar">
    <w:name w:val="Footnote Text Char"/>
    <w:basedOn w:val="DefaultParagraphFont"/>
    <w:link w:val="FootnoteText"/>
    <w:rsid w:val="001775DE"/>
    <w:rPr>
      <w:sz w:val="20"/>
      <w:szCs w:val="20"/>
    </w:rPr>
  </w:style>
  <w:style w:type="character" w:styleId="FootnoteReference">
    <w:name w:val="footnote reference"/>
    <w:basedOn w:val="DefaultParagraphFont"/>
    <w:rsid w:val="001775DE"/>
    <w:rPr>
      <w:vertAlign w:val="superscript"/>
    </w:rPr>
  </w:style>
  <w:style w:type="paragraph" w:styleId="DocumentMap">
    <w:name w:val="Document Map"/>
    <w:basedOn w:val="Normal"/>
    <w:link w:val="DocumentMapChar"/>
    <w:rsid w:val="00BB2F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BB2F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297">
      <w:bodyDiv w:val="1"/>
      <w:marLeft w:val="0"/>
      <w:marRight w:val="0"/>
      <w:marTop w:val="0"/>
      <w:marBottom w:val="0"/>
      <w:divBdr>
        <w:top w:val="none" w:sz="0" w:space="0" w:color="auto"/>
        <w:left w:val="none" w:sz="0" w:space="0" w:color="auto"/>
        <w:bottom w:val="none" w:sz="0" w:space="0" w:color="auto"/>
        <w:right w:val="none" w:sz="0" w:space="0" w:color="auto"/>
      </w:divBdr>
    </w:div>
    <w:div w:id="55474562">
      <w:bodyDiv w:val="1"/>
      <w:marLeft w:val="0"/>
      <w:marRight w:val="0"/>
      <w:marTop w:val="0"/>
      <w:marBottom w:val="0"/>
      <w:divBdr>
        <w:top w:val="none" w:sz="0" w:space="0" w:color="auto"/>
        <w:left w:val="none" w:sz="0" w:space="0" w:color="auto"/>
        <w:bottom w:val="none" w:sz="0" w:space="0" w:color="auto"/>
        <w:right w:val="none" w:sz="0" w:space="0" w:color="auto"/>
      </w:divBdr>
    </w:div>
    <w:div w:id="150803332">
      <w:bodyDiv w:val="1"/>
      <w:marLeft w:val="0"/>
      <w:marRight w:val="0"/>
      <w:marTop w:val="0"/>
      <w:marBottom w:val="0"/>
      <w:divBdr>
        <w:top w:val="none" w:sz="0" w:space="0" w:color="auto"/>
        <w:left w:val="none" w:sz="0" w:space="0" w:color="auto"/>
        <w:bottom w:val="none" w:sz="0" w:space="0" w:color="auto"/>
        <w:right w:val="none" w:sz="0" w:space="0" w:color="auto"/>
      </w:divBdr>
    </w:div>
    <w:div w:id="224537710">
      <w:bodyDiv w:val="1"/>
      <w:marLeft w:val="0"/>
      <w:marRight w:val="0"/>
      <w:marTop w:val="0"/>
      <w:marBottom w:val="0"/>
      <w:divBdr>
        <w:top w:val="none" w:sz="0" w:space="0" w:color="auto"/>
        <w:left w:val="none" w:sz="0" w:space="0" w:color="auto"/>
        <w:bottom w:val="none" w:sz="0" w:space="0" w:color="auto"/>
        <w:right w:val="none" w:sz="0" w:space="0" w:color="auto"/>
      </w:divBdr>
    </w:div>
    <w:div w:id="231937057">
      <w:bodyDiv w:val="1"/>
      <w:marLeft w:val="0"/>
      <w:marRight w:val="0"/>
      <w:marTop w:val="0"/>
      <w:marBottom w:val="0"/>
      <w:divBdr>
        <w:top w:val="none" w:sz="0" w:space="0" w:color="auto"/>
        <w:left w:val="none" w:sz="0" w:space="0" w:color="auto"/>
        <w:bottom w:val="none" w:sz="0" w:space="0" w:color="auto"/>
        <w:right w:val="none" w:sz="0" w:space="0" w:color="auto"/>
      </w:divBdr>
    </w:div>
    <w:div w:id="274290653">
      <w:bodyDiv w:val="1"/>
      <w:marLeft w:val="0"/>
      <w:marRight w:val="0"/>
      <w:marTop w:val="0"/>
      <w:marBottom w:val="0"/>
      <w:divBdr>
        <w:top w:val="none" w:sz="0" w:space="0" w:color="auto"/>
        <w:left w:val="none" w:sz="0" w:space="0" w:color="auto"/>
        <w:bottom w:val="none" w:sz="0" w:space="0" w:color="auto"/>
        <w:right w:val="none" w:sz="0" w:space="0" w:color="auto"/>
      </w:divBdr>
    </w:div>
    <w:div w:id="308024881">
      <w:bodyDiv w:val="1"/>
      <w:marLeft w:val="0"/>
      <w:marRight w:val="0"/>
      <w:marTop w:val="0"/>
      <w:marBottom w:val="0"/>
      <w:divBdr>
        <w:top w:val="none" w:sz="0" w:space="0" w:color="auto"/>
        <w:left w:val="none" w:sz="0" w:space="0" w:color="auto"/>
        <w:bottom w:val="none" w:sz="0" w:space="0" w:color="auto"/>
        <w:right w:val="none" w:sz="0" w:space="0" w:color="auto"/>
      </w:divBdr>
    </w:div>
    <w:div w:id="433670519">
      <w:bodyDiv w:val="1"/>
      <w:marLeft w:val="0"/>
      <w:marRight w:val="0"/>
      <w:marTop w:val="0"/>
      <w:marBottom w:val="0"/>
      <w:divBdr>
        <w:top w:val="none" w:sz="0" w:space="0" w:color="auto"/>
        <w:left w:val="none" w:sz="0" w:space="0" w:color="auto"/>
        <w:bottom w:val="none" w:sz="0" w:space="0" w:color="auto"/>
        <w:right w:val="none" w:sz="0" w:space="0" w:color="auto"/>
      </w:divBdr>
    </w:div>
    <w:div w:id="497422626">
      <w:bodyDiv w:val="1"/>
      <w:marLeft w:val="0"/>
      <w:marRight w:val="0"/>
      <w:marTop w:val="0"/>
      <w:marBottom w:val="0"/>
      <w:divBdr>
        <w:top w:val="none" w:sz="0" w:space="0" w:color="auto"/>
        <w:left w:val="none" w:sz="0" w:space="0" w:color="auto"/>
        <w:bottom w:val="none" w:sz="0" w:space="0" w:color="auto"/>
        <w:right w:val="none" w:sz="0" w:space="0" w:color="auto"/>
      </w:divBdr>
    </w:div>
    <w:div w:id="763454382">
      <w:bodyDiv w:val="1"/>
      <w:marLeft w:val="0"/>
      <w:marRight w:val="0"/>
      <w:marTop w:val="0"/>
      <w:marBottom w:val="0"/>
      <w:divBdr>
        <w:top w:val="none" w:sz="0" w:space="0" w:color="auto"/>
        <w:left w:val="none" w:sz="0" w:space="0" w:color="auto"/>
        <w:bottom w:val="none" w:sz="0" w:space="0" w:color="auto"/>
        <w:right w:val="none" w:sz="0" w:space="0" w:color="auto"/>
      </w:divBdr>
    </w:div>
    <w:div w:id="864488228">
      <w:bodyDiv w:val="1"/>
      <w:marLeft w:val="0"/>
      <w:marRight w:val="0"/>
      <w:marTop w:val="0"/>
      <w:marBottom w:val="0"/>
      <w:divBdr>
        <w:top w:val="none" w:sz="0" w:space="0" w:color="auto"/>
        <w:left w:val="none" w:sz="0" w:space="0" w:color="auto"/>
        <w:bottom w:val="none" w:sz="0" w:space="0" w:color="auto"/>
        <w:right w:val="none" w:sz="0" w:space="0" w:color="auto"/>
      </w:divBdr>
    </w:div>
    <w:div w:id="869296871">
      <w:bodyDiv w:val="1"/>
      <w:marLeft w:val="0"/>
      <w:marRight w:val="0"/>
      <w:marTop w:val="0"/>
      <w:marBottom w:val="0"/>
      <w:divBdr>
        <w:top w:val="none" w:sz="0" w:space="0" w:color="auto"/>
        <w:left w:val="none" w:sz="0" w:space="0" w:color="auto"/>
        <w:bottom w:val="none" w:sz="0" w:space="0" w:color="auto"/>
        <w:right w:val="none" w:sz="0" w:space="0" w:color="auto"/>
      </w:divBdr>
    </w:div>
    <w:div w:id="941105330">
      <w:bodyDiv w:val="1"/>
      <w:marLeft w:val="0"/>
      <w:marRight w:val="0"/>
      <w:marTop w:val="0"/>
      <w:marBottom w:val="0"/>
      <w:divBdr>
        <w:top w:val="none" w:sz="0" w:space="0" w:color="auto"/>
        <w:left w:val="none" w:sz="0" w:space="0" w:color="auto"/>
        <w:bottom w:val="none" w:sz="0" w:space="0" w:color="auto"/>
        <w:right w:val="none" w:sz="0" w:space="0" w:color="auto"/>
      </w:divBdr>
    </w:div>
    <w:div w:id="1055738026">
      <w:bodyDiv w:val="1"/>
      <w:marLeft w:val="0"/>
      <w:marRight w:val="0"/>
      <w:marTop w:val="0"/>
      <w:marBottom w:val="0"/>
      <w:divBdr>
        <w:top w:val="none" w:sz="0" w:space="0" w:color="auto"/>
        <w:left w:val="none" w:sz="0" w:space="0" w:color="auto"/>
        <w:bottom w:val="none" w:sz="0" w:space="0" w:color="auto"/>
        <w:right w:val="none" w:sz="0" w:space="0" w:color="auto"/>
      </w:divBdr>
    </w:div>
    <w:div w:id="1097017028">
      <w:bodyDiv w:val="1"/>
      <w:marLeft w:val="0"/>
      <w:marRight w:val="0"/>
      <w:marTop w:val="0"/>
      <w:marBottom w:val="0"/>
      <w:divBdr>
        <w:top w:val="none" w:sz="0" w:space="0" w:color="auto"/>
        <w:left w:val="none" w:sz="0" w:space="0" w:color="auto"/>
        <w:bottom w:val="none" w:sz="0" w:space="0" w:color="auto"/>
        <w:right w:val="none" w:sz="0" w:space="0" w:color="auto"/>
      </w:divBdr>
    </w:div>
    <w:div w:id="1245528720">
      <w:bodyDiv w:val="1"/>
      <w:marLeft w:val="0"/>
      <w:marRight w:val="0"/>
      <w:marTop w:val="0"/>
      <w:marBottom w:val="0"/>
      <w:divBdr>
        <w:top w:val="none" w:sz="0" w:space="0" w:color="auto"/>
        <w:left w:val="none" w:sz="0" w:space="0" w:color="auto"/>
        <w:bottom w:val="none" w:sz="0" w:space="0" w:color="auto"/>
        <w:right w:val="none" w:sz="0" w:space="0" w:color="auto"/>
      </w:divBdr>
    </w:div>
    <w:div w:id="1317102724">
      <w:bodyDiv w:val="1"/>
      <w:marLeft w:val="0"/>
      <w:marRight w:val="0"/>
      <w:marTop w:val="0"/>
      <w:marBottom w:val="0"/>
      <w:divBdr>
        <w:top w:val="none" w:sz="0" w:space="0" w:color="auto"/>
        <w:left w:val="none" w:sz="0" w:space="0" w:color="auto"/>
        <w:bottom w:val="none" w:sz="0" w:space="0" w:color="auto"/>
        <w:right w:val="none" w:sz="0" w:space="0" w:color="auto"/>
      </w:divBdr>
    </w:div>
    <w:div w:id="1524896928">
      <w:bodyDiv w:val="1"/>
      <w:marLeft w:val="0"/>
      <w:marRight w:val="0"/>
      <w:marTop w:val="0"/>
      <w:marBottom w:val="0"/>
      <w:divBdr>
        <w:top w:val="none" w:sz="0" w:space="0" w:color="auto"/>
        <w:left w:val="none" w:sz="0" w:space="0" w:color="auto"/>
        <w:bottom w:val="none" w:sz="0" w:space="0" w:color="auto"/>
        <w:right w:val="none" w:sz="0" w:space="0" w:color="auto"/>
      </w:divBdr>
    </w:div>
    <w:div w:id="1557230985">
      <w:bodyDiv w:val="1"/>
      <w:marLeft w:val="0"/>
      <w:marRight w:val="0"/>
      <w:marTop w:val="0"/>
      <w:marBottom w:val="0"/>
      <w:divBdr>
        <w:top w:val="none" w:sz="0" w:space="0" w:color="auto"/>
        <w:left w:val="none" w:sz="0" w:space="0" w:color="auto"/>
        <w:bottom w:val="none" w:sz="0" w:space="0" w:color="auto"/>
        <w:right w:val="none" w:sz="0" w:space="0" w:color="auto"/>
      </w:divBdr>
    </w:div>
    <w:div w:id="1574510037">
      <w:bodyDiv w:val="1"/>
      <w:marLeft w:val="0"/>
      <w:marRight w:val="0"/>
      <w:marTop w:val="0"/>
      <w:marBottom w:val="0"/>
      <w:divBdr>
        <w:top w:val="none" w:sz="0" w:space="0" w:color="auto"/>
        <w:left w:val="none" w:sz="0" w:space="0" w:color="auto"/>
        <w:bottom w:val="none" w:sz="0" w:space="0" w:color="auto"/>
        <w:right w:val="none" w:sz="0" w:space="0" w:color="auto"/>
      </w:divBdr>
    </w:div>
    <w:div w:id="1590239462">
      <w:bodyDiv w:val="1"/>
      <w:marLeft w:val="0"/>
      <w:marRight w:val="0"/>
      <w:marTop w:val="0"/>
      <w:marBottom w:val="0"/>
      <w:divBdr>
        <w:top w:val="none" w:sz="0" w:space="0" w:color="auto"/>
        <w:left w:val="none" w:sz="0" w:space="0" w:color="auto"/>
        <w:bottom w:val="none" w:sz="0" w:space="0" w:color="auto"/>
        <w:right w:val="none" w:sz="0" w:space="0" w:color="auto"/>
      </w:divBdr>
    </w:div>
    <w:div w:id="1610963341">
      <w:bodyDiv w:val="1"/>
      <w:marLeft w:val="0"/>
      <w:marRight w:val="0"/>
      <w:marTop w:val="0"/>
      <w:marBottom w:val="0"/>
      <w:divBdr>
        <w:top w:val="none" w:sz="0" w:space="0" w:color="auto"/>
        <w:left w:val="none" w:sz="0" w:space="0" w:color="auto"/>
        <w:bottom w:val="none" w:sz="0" w:space="0" w:color="auto"/>
        <w:right w:val="none" w:sz="0" w:space="0" w:color="auto"/>
      </w:divBdr>
    </w:div>
    <w:div w:id="1627471540">
      <w:bodyDiv w:val="1"/>
      <w:marLeft w:val="0"/>
      <w:marRight w:val="0"/>
      <w:marTop w:val="0"/>
      <w:marBottom w:val="0"/>
      <w:divBdr>
        <w:top w:val="none" w:sz="0" w:space="0" w:color="auto"/>
        <w:left w:val="none" w:sz="0" w:space="0" w:color="auto"/>
        <w:bottom w:val="none" w:sz="0" w:space="0" w:color="auto"/>
        <w:right w:val="none" w:sz="0" w:space="0" w:color="auto"/>
      </w:divBdr>
    </w:div>
    <w:div w:id="1648629371">
      <w:bodyDiv w:val="1"/>
      <w:marLeft w:val="0"/>
      <w:marRight w:val="0"/>
      <w:marTop w:val="0"/>
      <w:marBottom w:val="0"/>
      <w:divBdr>
        <w:top w:val="none" w:sz="0" w:space="0" w:color="auto"/>
        <w:left w:val="none" w:sz="0" w:space="0" w:color="auto"/>
        <w:bottom w:val="none" w:sz="0" w:space="0" w:color="auto"/>
        <w:right w:val="none" w:sz="0" w:space="0" w:color="auto"/>
      </w:divBdr>
    </w:div>
    <w:div w:id="1849324640">
      <w:bodyDiv w:val="1"/>
      <w:marLeft w:val="0"/>
      <w:marRight w:val="0"/>
      <w:marTop w:val="0"/>
      <w:marBottom w:val="0"/>
      <w:divBdr>
        <w:top w:val="none" w:sz="0" w:space="0" w:color="auto"/>
        <w:left w:val="none" w:sz="0" w:space="0" w:color="auto"/>
        <w:bottom w:val="none" w:sz="0" w:space="0" w:color="auto"/>
        <w:right w:val="none" w:sz="0" w:space="0" w:color="auto"/>
      </w:divBdr>
    </w:div>
    <w:div w:id="1857692796">
      <w:bodyDiv w:val="1"/>
      <w:marLeft w:val="0"/>
      <w:marRight w:val="0"/>
      <w:marTop w:val="0"/>
      <w:marBottom w:val="0"/>
      <w:divBdr>
        <w:top w:val="none" w:sz="0" w:space="0" w:color="auto"/>
        <w:left w:val="none" w:sz="0" w:space="0" w:color="auto"/>
        <w:bottom w:val="none" w:sz="0" w:space="0" w:color="auto"/>
        <w:right w:val="none" w:sz="0" w:space="0" w:color="auto"/>
      </w:divBdr>
    </w:div>
    <w:div w:id="1865752693">
      <w:bodyDiv w:val="1"/>
      <w:marLeft w:val="0"/>
      <w:marRight w:val="0"/>
      <w:marTop w:val="0"/>
      <w:marBottom w:val="0"/>
      <w:divBdr>
        <w:top w:val="none" w:sz="0" w:space="0" w:color="auto"/>
        <w:left w:val="none" w:sz="0" w:space="0" w:color="auto"/>
        <w:bottom w:val="none" w:sz="0" w:space="0" w:color="auto"/>
        <w:right w:val="none" w:sz="0" w:space="0" w:color="auto"/>
      </w:divBdr>
    </w:div>
    <w:div w:id="19986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SEA100_SDOTDATA_SERVER\V2\SDOT\DATA\Major%20Projects\1%20DivAdFinance\2%20%20DivFinances\WMBE\Graphs_trends%20in%20WMBE_128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Adjusted</a:t>
            </a:r>
            <a:r>
              <a:rPr lang="en-US" baseline="0"/>
              <a:t> </a:t>
            </a:r>
            <a:r>
              <a:rPr lang="en-US"/>
              <a:t>SDOT WMBE Utilization</a:t>
            </a:r>
          </a:p>
        </c:rich>
      </c:tx>
      <c:layout/>
      <c:overlay val="0"/>
    </c:title>
    <c:autoTitleDeleted val="0"/>
    <c:plotArea>
      <c:layout/>
      <c:lineChart>
        <c:grouping val="standard"/>
        <c:varyColors val="0"/>
        <c:ser>
          <c:idx val="0"/>
          <c:order val="0"/>
          <c:tx>
            <c:v>Consulting</c:v>
          </c:tx>
          <c:cat>
            <c:numRef>
              <c:f>Sheet2!$A$3:$A$10</c:f>
              <c:numCache>
                <c:formatCode>General</c:formatCode>
                <c:ptCount val="8"/>
                <c:pt idx="0">
                  <c:v>2005</c:v>
                </c:pt>
                <c:pt idx="1">
                  <c:v>2006</c:v>
                </c:pt>
                <c:pt idx="2">
                  <c:v>2007</c:v>
                </c:pt>
                <c:pt idx="3">
                  <c:v>2008</c:v>
                </c:pt>
                <c:pt idx="4">
                  <c:v>2009</c:v>
                </c:pt>
                <c:pt idx="5">
                  <c:v>2010</c:v>
                </c:pt>
                <c:pt idx="6">
                  <c:v>2011</c:v>
                </c:pt>
                <c:pt idx="7">
                  <c:v>2012</c:v>
                </c:pt>
              </c:numCache>
            </c:numRef>
          </c:cat>
          <c:val>
            <c:numRef>
              <c:f>Sheet2!$C$3:$C$10</c:f>
              <c:numCache>
                <c:formatCode>0.0%</c:formatCode>
                <c:ptCount val="8"/>
                <c:pt idx="0">
                  <c:v>8.1658126536074155E-2</c:v>
                </c:pt>
                <c:pt idx="1">
                  <c:v>0.11850246434796805</c:v>
                </c:pt>
                <c:pt idx="2">
                  <c:v>0.1343745145328672</c:v>
                </c:pt>
                <c:pt idx="3">
                  <c:v>0.17048449806654201</c:v>
                </c:pt>
                <c:pt idx="4">
                  <c:v>0.23305800271754754</c:v>
                </c:pt>
                <c:pt idx="5">
                  <c:v>0.24158593003958798</c:v>
                </c:pt>
                <c:pt idx="6">
                  <c:v>0.16029646179875753</c:v>
                </c:pt>
                <c:pt idx="7">
                  <c:v>0.17165116392416216</c:v>
                </c:pt>
              </c:numCache>
            </c:numRef>
          </c:val>
          <c:smooth val="0"/>
        </c:ser>
        <c:ser>
          <c:idx val="1"/>
          <c:order val="1"/>
          <c:tx>
            <c:v>Purchasing</c:v>
          </c:tx>
          <c:cat>
            <c:numRef>
              <c:f>Sheet2!$A$3:$A$10</c:f>
              <c:numCache>
                <c:formatCode>General</c:formatCode>
                <c:ptCount val="8"/>
                <c:pt idx="0">
                  <c:v>2005</c:v>
                </c:pt>
                <c:pt idx="1">
                  <c:v>2006</c:v>
                </c:pt>
                <c:pt idx="2">
                  <c:v>2007</c:v>
                </c:pt>
                <c:pt idx="3">
                  <c:v>2008</c:v>
                </c:pt>
                <c:pt idx="4">
                  <c:v>2009</c:v>
                </c:pt>
                <c:pt idx="5">
                  <c:v>2010</c:v>
                </c:pt>
                <c:pt idx="6">
                  <c:v>2011</c:v>
                </c:pt>
                <c:pt idx="7">
                  <c:v>2012</c:v>
                </c:pt>
              </c:numCache>
            </c:numRef>
          </c:cat>
          <c:val>
            <c:numRef>
              <c:f>Sheet2!$F$3:$F$10</c:f>
              <c:numCache>
                <c:formatCode>0.0%</c:formatCode>
                <c:ptCount val="8"/>
                <c:pt idx="0">
                  <c:v>9.2498208583217167E-2</c:v>
                </c:pt>
                <c:pt idx="1">
                  <c:v>7.5306186432877814E-2</c:v>
                </c:pt>
                <c:pt idx="2">
                  <c:v>9.0688752366782699E-2</c:v>
                </c:pt>
                <c:pt idx="3">
                  <c:v>0.13922643718109082</c:v>
                </c:pt>
                <c:pt idx="4">
                  <c:v>0.15754366900171946</c:v>
                </c:pt>
                <c:pt idx="5">
                  <c:v>0.18697257780005186</c:v>
                </c:pt>
                <c:pt idx="6">
                  <c:v>0.10791702569567595</c:v>
                </c:pt>
                <c:pt idx="7">
                  <c:v>9.6353284248229421E-2</c:v>
                </c:pt>
              </c:numCache>
            </c:numRef>
          </c:val>
          <c:smooth val="0"/>
        </c:ser>
        <c:dLbls>
          <c:showLegendKey val="0"/>
          <c:showVal val="0"/>
          <c:showCatName val="0"/>
          <c:showSerName val="0"/>
          <c:showPercent val="0"/>
          <c:showBubbleSize val="0"/>
        </c:dLbls>
        <c:marker val="1"/>
        <c:smooth val="0"/>
        <c:axId val="164810752"/>
        <c:axId val="164812672"/>
      </c:lineChart>
      <c:catAx>
        <c:axId val="164810752"/>
        <c:scaling>
          <c:orientation val="minMax"/>
        </c:scaling>
        <c:delete val="0"/>
        <c:axPos val="b"/>
        <c:numFmt formatCode="General" sourceLinked="1"/>
        <c:majorTickMark val="out"/>
        <c:minorTickMark val="none"/>
        <c:tickLblPos val="nextTo"/>
        <c:crossAx val="164812672"/>
        <c:crosses val="autoZero"/>
        <c:auto val="1"/>
        <c:lblAlgn val="ctr"/>
        <c:lblOffset val="100"/>
        <c:noMultiLvlLbl val="0"/>
      </c:catAx>
      <c:valAx>
        <c:axId val="164812672"/>
        <c:scaling>
          <c:orientation val="minMax"/>
        </c:scaling>
        <c:delete val="0"/>
        <c:axPos val="l"/>
        <c:majorGridlines/>
        <c:numFmt formatCode="0.0%" sourceLinked="1"/>
        <c:majorTickMark val="out"/>
        <c:minorTickMark val="none"/>
        <c:tickLblPos val="nextTo"/>
        <c:crossAx val="1648107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B01CA-6CE9-4BE0-BFE6-3708B8F8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2008 [DEPARTMENT] HUB/WMBE OUTREACH PLAN</vt:lpstr>
    </vt:vector>
  </TitlesOfParts>
  <Company>City of Seattle</Company>
  <LinksUpToDate>false</LinksUpToDate>
  <CharactersWithSpaces>22562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[DEPARTMENT] HUB/WMBE OUTREACH PLAN</dc:title>
  <dc:creator>City of Seattle</dc:creator>
  <cp:lastModifiedBy>Bailey, Jean</cp:lastModifiedBy>
  <cp:revision>2</cp:revision>
  <cp:lastPrinted>2013-02-13T19:56:00Z</cp:lastPrinted>
  <dcterms:created xsi:type="dcterms:W3CDTF">2014-08-05T22:47:00Z</dcterms:created>
  <dcterms:modified xsi:type="dcterms:W3CDTF">2014-08-05T22:47:00Z</dcterms:modified>
</cp:coreProperties>
</file>