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C549" w14:textId="3C673C1B" w:rsidR="00A904C2" w:rsidRPr="003D47A7" w:rsidRDefault="003D47A7" w:rsidP="00A904C2">
      <w:pPr>
        <w:rPr>
          <w:i/>
          <w:iCs/>
          <w:sz w:val="36"/>
          <w:szCs w:val="36"/>
        </w:rPr>
      </w:pPr>
      <w:r w:rsidRPr="003D47A7">
        <w:rPr>
          <w:i/>
          <w:iCs/>
          <w:sz w:val="36"/>
          <w:szCs w:val="36"/>
        </w:rPr>
        <w:t xml:space="preserve">2023 </w:t>
      </w:r>
      <w:r w:rsidR="00A904C2" w:rsidRPr="003D47A7">
        <w:rPr>
          <w:i/>
          <w:iCs/>
          <w:sz w:val="36"/>
          <w:szCs w:val="36"/>
        </w:rPr>
        <w:t xml:space="preserve">SEPA Exemption for Infill Housing </w:t>
      </w:r>
      <w:r w:rsidR="00A0398A">
        <w:rPr>
          <w:i/>
          <w:iCs/>
          <w:sz w:val="36"/>
          <w:szCs w:val="36"/>
        </w:rPr>
        <w:t>(SB 5412)</w:t>
      </w:r>
    </w:p>
    <w:p w14:paraId="1352A2DB" w14:textId="4A2B9ABA" w:rsidR="00A904C2" w:rsidRDefault="00A904C2" w:rsidP="001810DD">
      <w:pPr>
        <w:rPr>
          <w:i/>
          <w:iCs/>
          <w:sz w:val="28"/>
          <w:szCs w:val="28"/>
        </w:rPr>
      </w:pPr>
    </w:p>
    <w:p w14:paraId="15BA7B2B" w14:textId="6AD603BB" w:rsidR="00A97CEA" w:rsidRDefault="00CA38D8" w:rsidP="001810D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Frequently Asked Questions</w:t>
      </w:r>
      <w:r w:rsidR="003D47A7">
        <w:rPr>
          <w:i/>
          <w:iCs/>
          <w:sz w:val="28"/>
          <w:szCs w:val="28"/>
        </w:rPr>
        <w:t>:</w:t>
      </w:r>
    </w:p>
    <w:p w14:paraId="1A9BBEBF" w14:textId="4A2B9ABA" w:rsidR="00A97CEA" w:rsidRDefault="00A97CEA" w:rsidP="001810DD">
      <w:pPr>
        <w:rPr>
          <w:i/>
          <w:iCs/>
          <w:sz w:val="28"/>
          <w:szCs w:val="28"/>
        </w:rPr>
      </w:pPr>
    </w:p>
    <w:p w14:paraId="5526E5E9" w14:textId="3630195D" w:rsidR="00433281" w:rsidRDefault="00433281" w:rsidP="00433281">
      <w:pPr>
        <w:rPr>
          <w:b/>
          <w:bCs/>
        </w:rPr>
      </w:pPr>
      <w:r w:rsidRPr="008942D8">
        <w:rPr>
          <w:b/>
          <w:bCs/>
        </w:rPr>
        <w:t xml:space="preserve">What is the purpose of </w:t>
      </w:r>
      <w:r w:rsidR="00A94CB3">
        <w:rPr>
          <w:b/>
          <w:bCs/>
        </w:rPr>
        <w:t>the State Environmental Policy Act (</w:t>
      </w:r>
      <w:r w:rsidRPr="008942D8">
        <w:rPr>
          <w:b/>
          <w:bCs/>
        </w:rPr>
        <w:t>SEPA</w:t>
      </w:r>
      <w:r w:rsidR="00A94CB3">
        <w:rPr>
          <w:b/>
          <w:bCs/>
        </w:rPr>
        <w:t>)</w:t>
      </w:r>
      <w:r w:rsidRPr="008942D8">
        <w:rPr>
          <w:b/>
          <w:bCs/>
        </w:rPr>
        <w:t>?</w:t>
      </w:r>
    </w:p>
    <w:p w14:paraId="504EED9E" w14:textId="01905FD3" w:rsidR="00433281" w:rsidRPr="00D72E94" w:rsidRDefault="00433281" w:rsidP="00433281">
      <w:pPr>
        <w:pStyle w:val="ListParagraph"/>
        <w:numPr>
          <w:ilvl w:val="0"/>
          <w:numId w:val="10"/>
        </w:numPr>
        <w:rPr>
          <w:b/>
          <w:bCs/>
        </w:rPr>
      </w:pPr>
      <w:r>
        <w:t>Created in 1971,</w:t>
      </w:r>
      <w:r w:rsidR="004E5B80">
        <w:t xml:space="preserve"> </w:t>
      </w:r>
      <w:r w:rsidR="00A94CB3">
        <w:t xml:space="preserve">SEPA was intended to </w:t>
      </w:r>
      <w:r w:rsidR="00221BD5">
        <w:t xml:space="preserve">be a </w:t>
      </w:r>
      <w:r w:rsidR="00320BCF">
        <w:t>mechanism</w:t>
      </w:r>
      <w:r w:rsidR="00221BD5">
        <w:t xml:space="preserve"> for regulatory agencies to analyze </w:t>
      </w:r>
      <w:r w:rsidR="3831F072">
        <w:t xml:space="preserve">adverse </w:t>
      </w:r>
      <w:r w:rsidR="00221BD5">
        <w:t xml:space="preserve">impacts and </w:t>
      </w:r>
      <w:r w:rsidR="004254BD">
        <w:t xml:space="preserve">require </w:t>
      </w:r>
      <w:r w:rsidR="00221BD5">
        <w:t>mitigation</w:t>
      </w:r>
      <w:r w:rsidR="004254BD">
        <w:t xml:space="preserve"> </w:t>
      </w:r>
      <w:r w:rsidR="00496040">
        <w:t>associated with government decision</w:t>
      </w:r>
      <w:r w:rsidR="000F0EFF">
        <w:t>s on a proposal</w:t>
      </w:r>
      <w:r w:rsidR="00496040">
        <w:t xml:space="preserve"> </w:t>
      </w:r>
      <w:r w:rsidR="004254BD">
        <w:t>where existing code</w:t>
      </w:r>
      <w:r w:rsidR="00496040">
        <w:t>s</w:t>
      </w:r>
      <w:r w:rsidR="004254BD">
        <w:t xml:space="preserve"> and rules were not adequate to address the impact</w:t>
      </w:r>
      <w:r w:rsidR="00496040">
        <w:t xml:space="preserve">. </w:t>
      </w:r>
    </w:p>
    <w:p w14:paraId="07B268B8" w14:textId="7A7EE8E7" w:rsidR="00433281" w:rsidRPr="003D5A96" w:rsidRDefault="00D72E94" w:rsidP="00433281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In Seattle, </w:t>
      </w:r>
      <w:r w:rsidR="00720E3D">
        <w:t xml:space="preserve">SEPA </w:t>
      </w:r>
      <w:r>
        <w:t xml:space="preserve">is </w:t>
      </w:r>
      <w:r w:rsidR="00E52EBF">
        <w:t xml:space="preserve">typically </w:t>
      </w:r>
      <w:r>
        <w:t>required</w:t>
      </w:r>
      <w:r w:rsidR="00E52EBF">
        <w:t xml:space="preserve"> </w:t>
      </w:r>
      <w:r w:rsidR="00B93D6A">
        <w:t xml:space="preserve">for </w:t>
      </w:r>
      <w:r w:rsidR="00E52EBF">
        <w:t>legislative changes and</w:t>
      </w:r>
      <w:r w:rsidR="009D6188">
        <w:t xml:space="preserve"> permits related to</w:t>
      </w:r>
      <w:r>
        <w:t xml:space="preserve"> larger development proposal</w:t>
      </w:r>
      <w:r w:rsidR="009D6188">
        <w:t xml:space="preserve">s. </w:t>
      </w:r>
    </w:p>
    <w:p w14:paraId="626801BB" w14:textId="44AEEB14" w:rsidR="00433281" w:rsidRDefault="00C7746D" w:rsidP="00433281">
      <w:pPr>
        <w:pStyle w:val="ListParagraph"/>
        <w:numPr>
          <w:ilvl w:val="0"/>
          <w:numId w:val="9"/>
        </w:numPr>
        <w:rPr>
          <w:b/>
          <w:bCs/>
        </w:rPr>
      </w:pPr>
      <w:r>
        <w:t>Over the last 50+ years,</w:t>
      </w:r>
      <w:r w:rsidR="00C84E43">
        <w:t xml:space="preserve"> </w:t>
      </w:r>
      <w:r w:rsidR="00433281">
        <w:t xml:space="preserve">our local codes </w:t>
      </w:r>
      <w:r w:rsidR="00482FFE">
        <w:t xml:space="preserve">and rules </w:t>
      </w:r>
      <w:r w:rsidR="00433281">
        <w:t xml:space="preserve">have been </w:t>
      </w:r>
      <w:r w:rsidR="000064A7">
        <w:t xml:space="preserve">consistently strengthened </w:t>
      </w:r>
      <w:r w:rsidR="001F1FEB">
        <w:t>with updates</w:t>
      </w:r>
      <w:r w:rsidR="00BC5A88">
        <w:t xml:space="preserve"> to </w:t>
      </w:r>
      <w:r w:rsidR="00433281">
        <w:t>incorporate much of the</w:t>
      </w:r>
      <w:r w:rsidR="000064A7">
        <w:t xml:space="preserve"> SEPA</w:t>
      </w:r>
      <w:r w:rsidR="00433281">
        <w:t xml:space="preserve"> </w:t>
      </w:r>
      <w:r w:rsidR="00BC5A88">
        <w:t>mitigation</w:t>
      </w:r>
      <w:r w:rsidR="000064A7">
        <w:t xml:space="preserve"> </w:t>
      </w:r>
      <w:r w:rsidR="001F1FEB">
        <w:t>regularly applied</w:t>
      </w:r>
      <w:r w:rsidR="00433281">
        <w:t xml:space="preserve"> to topics such as </w:t>
      </w:r>
      <w:r w:rsidR="00FE5D0D">
        <w:t xml:space="preserve">building form, </w:t>
      </w:r>
      <w:r w:rsidR="00433281">
        <w:t xml:space="preserve">noise, traffic, trees, and stormwater. </w:t>
      </w:r>
    </w:p>
    <w:p w14:paraId="5BF88B68" w14:textId="77777777" w:rsidR="001810DD" w:rsidRDefault="001810DD" w:rsidP="001810DD"/>
    <w:p w14:paraId="6908EE8C" w14:textId="77777777" w:rsidR="001810DD" w:rsidRDefault="001810DD" w:rsidP="001810DD">
      <w:pPr>
        <w:rPr>
          <w:b/>
          <w:bCs/>
        </w:rPr>
      </w:pPr>
      <w:r>
        <w:rPr>
          <w:b/>
          <w:bCs/>
        </w:rPr>
        <w:t>What changed?</w:t>
      </w:r>
    </w:p>
    <w:p w14:paraId="16B45292" w14:textId="57855390" w:rsidR="001810DD" w:rsidRDefault="001810DD" w:rsidP="001810DD">
      <w:pPr>
        <w:pStyle w:val="ListParagraph"/>
        <w:numPr>
          <w:ilvl w:val="0"/>
          <w:numId w:val="11"/>
        </w:numPr>
      </w:pPr>
      <w:r>
        <w:t>To</w:t>
      </w:r>
      <w:r w:rsidR="28A639CF">
        <w:t xml:space="preserve"> realize </w:t>
      </w:r>
      <w:r w:rsidR="1137A6F3">
        <w:t xml:space="preserve">the goals and policies of </w:t>
      </w:r>
      <w:r w:rsidR="28A639CF">
        <w:t>comprehensive plan</w:t>
      </w:r>
      <w:r w:rsidR="28C17708">
        <w:t>s and</w:t>
      </w:r>
      <w:r>
        <w:t xml:space="preserve"> speed production of housing across the state, </w:t>
      </w:r>
      <w:hyperlink r:id="rId7" w:history="1">
        <w:r w:rsidRPr="00FF3D8C">
          <w:rPr>
            <w:rStyle w:val="Hyperlink"/>
          </w:rPr>
          <w:t>S</w:t>
        </w:r>
        <w:r w:rsidR="573D932E" w:rsidRPr="00FF3D8C">
          <w:rPr>
            <w:rStyle w:val="Hyperlink"/>
          </w:rPr>
          <w:t>enate Bill</w:t>
        </w:r>
        <w:r w:rsidRPr="00FF3D8C">
          <w:rPr>
            <w:rStyle w:val="Hyperlink"/>
          </w:rPr>
          <w:t xml:space="preserve"> 5412</w:t>
        </w:r>
      </w:hyperlink>
      <w:r>
        <w:t xml:space="preserve">, signed by the Governor, exempts </w:t>
      </w:r>
      <w:r w:rsidR="0030378A">
        <w:t>projects that include one o</w:t>
      </w:r>
      <w:r w:rsidR="000743BE">
        <w:t>r</w:t>
      </w:r>
      <w:r w:rsidR="0030378A">
        <w:t xml:space="preserve"> more </w:t>
      </w:r>
      <w:r w:rsidR="00212EDC">
        <w:t xml:space="preserve">housing </w:t>
      </w:r>
      <w:r w:rsidR="00F43323">
        <w:t>units in</w:t>
      </w:r>
      <w:r>
        <w:t xml:space="preserve"> Seattle from SEPA review beginning July 23, 2023.</w:t>
      </w:r>
    </w:p>
    <w:p w14:paraId="1ED0591F" w14:textId="6E7D7C06" w:rsidR="001810DD" w:rsidRDefault="001810DD" w:rsidP="001810DD">
      <w:pPr>
        <w:pStyle w:val="ListParagraph"/>
        <w:numPr>
          <w:ilvl w:val="0"/>
          <w:numId w:val="11"/>
        </w:numPr>
      </w:pPr>
      <w:r>
        <w:t xml:space="preserve">This will remain in effect until </w:t>
      </w:r>
      <w:r w:rsidR="006456F4">
        <w:t>September</w:t>
      </w:r>
      <w:r w:rsidR="00292F7F">
        <w:t xml:space="preserve"> </w:t>
      </w:r>
      <w:r>
        <w:t xml:space="preserve">2025, when the Seattle Comprehensive Plan Update provides new housing growth targets and </w:t>
      </w:r>
      <w:r w:rsidR="6351B6E9">
        <w:t>updated</w:t>
      </w:r>
      <w:r>
        <w:t xml:space="preserve"> SEPA thresholds.</w:t>
      </w:r>
    </w:p>
    <w:p w14:paraId="39F7C8F0" w14:textId="77777777" w:rsidR="001810DD" w:rsidRDefault="001810DD" w:rsidP="001810DD">
      <w:pPr>
        <w:rPr>
          <w:b/>
          <w:bCs/>
        </w:rPr>
      </w:pPr>
    </w:p>
    <w:p w14:paraId="71E46E62" w14:textId="77777777" w:rsidR="001810DD" w:rsidRDefault="001810DD" w:rsidP="001810DD">
      <w:pPr>
        <w:rPr>
          <w:b/>
          <w:bCs/>
        </w:rPr>
      </w:pPr>
      <w:r>
        <w:rPr>
          <w:b/>
          <w:bCs/>
        </w:rPr>
        <w:t>What does this mean?</w:t>
      </w:r>
    </w:p>
    <w:p w14:paraId="636BA594" w14:textId="528F6E37" w:rsidR="001810DD" w:rsidRDefault="001810DD" w:rsidP="001810DD">
      <w:pPr>
        <w:pStyle w:val="ListParagraph"/>
        <w:numPr>
          <w:ilvl w:val="0"/>
          <w:numId w:val="12"/>
        </w:numPr>
      </w:pPr>
      <w:r>
        <w:t xml:space="preserve">SEPA review triggers a Master Use Permit (MUP), which requires a public permit process </w:t>
      </w:r>
      <w:r w:rsidR="00970E65">
        <w:t>including</w:t>
      </w:r>
      <w:r>
        <w:t xml:space="preserve"> notice of the proposal, </w:t>
      </w:r>
      <w:r w:rsidR="10E864A4">
        <w:t xml:space="preserve">public </w:t>
      </w:r>
      <w:r>
        <w:t>comments, and the ability to appeal SDCI’s final written decision.</w:t>
      </w:r>
    </w:p>
    <w:p w14:paraId="33BC01E6" w14:textId="4680083D" w:rsidR="001810DD" w:rsidRDefault="001810DD" w:rsidP="001810DD">
      <w:pPr>
        <w:pStyle w:val="ListParagraph"/>
        <w:numPr>
          <w:ilvl w:val="0"/>
          <w:numId w:val="12"/>
        </w:numPr>
      </w:pPr>
      <w:r>
        <w:t xml:space="preserve">An exemption from SEPA for </w:t>
      </w:r>
      <w:r w:rsidR="002F109B">
        <w:t xml:space="preserve">projects that include </w:t>
      </w:r>
      <w:r>
        <w:t>housing means some projects may no longer require a Master Use Permit</w:t>
      </w:r>
      <w:r w:rsidR="001B48C7">
        <w:t xml:space="preserve"> </w:t>
      </w:r>
      <w:r>
        <w:t>and can move straight to a construction permit.</w:t>
      </w:r>
    </w:p>
    <w:p w14:paraId="4EA193F2" w14:textId="16D05285" w:rsidR="001810DD" w:rsidRDefault="00800FFF" w:rsidP="001810DD">
      <w:pPr>
        <w:pStyle w:val="ListParagraph"/>
        <w:numPr>
          <w:ilvl w:val="0"/>
          <w:numId w:val="12"/>
        </w:numPr>
      </w:pPr>
      <w:r>
        <w:t>C</w:t>
      </w:r>
      <w:r w:rsidR="001810DD">
        <w:t>onstruction permit</w:t>
      </w:r>
      <w:r w:rsidR="007A6C24">
        <w:t>s</w:t>
      </w:r>
      <w:r w:rsidR="001810DD">
        <w:t xml:space="preserve"> do not require public notice and </w:t>
      </w:r>
      <w:r w:rsidR="007A6C24">
        <w:t>are</w:t>
      </w:r>
      <w:r w:rsidR="001810DD">
        <w:t xml:space="preserve"> not appealable to the local Hearing Examiner.</w:t>
      </w:r>
    </w:p>
    <w:p w14:paraId="27B57804" w14:textId="40C06172" w:rsidR="001810DD" w:rsidRDefault="001810DD" w:rsidP="001810DD">
      <w:pPr>
        <w:pStyle w:val="ListParagraph"/>
        <w:numPr>
          <w:ilvl w:val="0"/>
          <w:numId w:val="12"/>
        </w:numPr>
      </w:pPr>
      <w:r>
        <w:t>This change streamlines permitting for new housing proposals and provides more certainty in the timing of permit approvals and eventual construction</w:t>
      </w:r>
      <w:r w:rsidR="00C82AFC">
        <w:t xml:space="preserve"> of housing</w:t>
      </w:r>
      <w:r>
        <w:t>.</w:t>
      </w:r>
    </w:p>
    <w:p w14:paraId="77CA07C4" w14:textId="77777777" w:rsidR="001810DD" w:rsidRDefault="001810DD" w:rsidP="001810DD"/>
    <w:p w14:paraId="1C98F400" w14:textId="3A5D1CA2" w:rsidR="001810DD" w:rsidRDefault="001810DD" w:rsidP="001810DD">
      <w:pPr>
        <w:rPr>
          <w:b/>
          <w:bCs/>
        </w:rPr>
      </w:pPr>
      <w:r>
        <w:rPr>
          <w:b/>
          <w:bCs/>
        </w:rPr>
        <w:t xml:space="preserve">What about existing </w:t>
      </w:r>
      <w:r w:rsidR="00904689">
        <w:rPr>
          <w:b/>
          <w:bCs/>
        </w:rPr>
        <w:t xml:space="preserve">proposals that include </w:t>
      </w:r>
      <w:r w:rsidR="00F92E11">
        <w:rPr>
          <w:b/>
          <w:bCs/>
        </w:rPr>
        <w:t xml:space="preserve">infill </w:t>
      </w:r>
      <w:r>
        <w:rPr>
          <w:b/>
          <w:bCs/>
        </w:rPr>
        <w:t xml:space="preserve">housing </w:t>
      </w:r>
      <w:r w:rsidR="00B46DC4">
        <w:rPr>
          <w:b/>
          <w:bCs/>
        </w:rPr>
        <w:t xml:space="preserve">and are </w:t>
      </w:r>
      <w:r>
        <w:rPr>
          <w:b/>
          <w:bCs/>
        </w:rPr>
        <w:t>under review for SEPA?</w:t>
      </w:r>
    </w:p>
    <w:p w14:paraId="32D558FA" w14:textId="5B77EAD2" w:rsidR="001810DD" w:rsidRDefault="001810DD" w:rsidP="001810DD">
      <w:pPr>
        <w:pStyle w:val="ListParagraph"/>
        <w:numPr>
          <w:ilvl w:val="0"/>
          <w:numId w:val="13"/>
        </w:numPr>
      </w:pPr>
      <w:r>
        <w:t xml:space="preserve">Applicants for </w:t>
      </w:r>
      <w:r w:rsidR="003876E8">
        <w:t xml:space="preserve">many of </w:t>
      </w:r>
      <w:r>
        <w:t>these proposals have the option of withdrawing from SEPA review.</w:t>
      </w:r>
    </w:p>
    <w:p w14:paraId="0471937B" w14:textId="7C04A643" w:rsidR="001810DD" w:rsidRDefault="001810DD" w:rsidP="001810DD">
      <w:pPr>
        <w:pStyle w:val="ListParagraph"/>
        <w:numPr>
          <w:ilvl w:val="0"/>
          <w:numId w:val="13"/>
        </w:numPr>
      </w:pPr>
      <w:r>
        <w:t xml:space="preserve">If a MUP is no longer required, then the permit may be canceled. </w:t>
      </w:r>
      <w:r w:rsidR="00A67642">
        <w:t>A</w:t>
      </w:r>
      <w:r>
        <w:t xml:space="preserve"> construction permit to </w:t>
      </w:r>
      <w:r w:rsidR="006D58CD">
        <w:t>apply</w:t>
      </w:r>
      <w:r>
        <w:t xml:space="preserve"> prescriptive code standards </w:t>
      </w:r>
      <w:r w:rsidR="00CA01E6">
        <w:t>is still required</w:t>
      </w:r>
      <w:r>
        <w:t>.</w:t>
      </w:r>
    </w:p>
    <w:p w14:paraId="1433850B" w14:textId="77777777" w:rsidR="001810DD" w:rsidRDefault="001810DD" w:rsidP="001810DD"/>
    <w:p w14:paraId="1783A2AF" w14:textId="5431EF61" w:rsidR="001810DD" w:rsidRDefault="001810DD" w:rsidP="001810DD">
      <w:pPr>
        <w:rPr>
          <w:b/>
          <w:bCs/>
        </w:rPr>
      </w:pPr>
      <w:r>
        <w:rPr>
          <w:b/>
          <w:bCs/>
        </w:rPr>
        <w:t xml:space="preserve">How will the public see the proposed </w:t>
      </w:r>
      <w:r w:rsidR="350E038B" w:rsidRPr="07F6B319">
        <w:rPr>
          <w:b/>
          <w:bCs/>
        </w:rPr>
        <w:t>building</w:t>
      </w:r>
      <w:r w:rsidR="14624591" w:rsidRPr="607ACD71">
        <w:rPr>
          <w:b/>
          <w:bCs/>
        </w:rPr>
        <w:t xml:space="preserve"> </w:t>
      </w:r>
      <w:r>
        <w:rPr>
          <w:b/>
          <w:bCs/>
        </w:rPr>
        <w:t>design without SEPA?</w:t>
      </w:r>
    </w:p>
    <w:p w14:paraId="3004C314" w14:textId="7F1BD635" w:rsidR="001810DD" w:rsidRDefault="001810DD" w:rsidP="001810DD">
      <w:pPr>
        <w:pStyle w:val="ListParagraph"/>
        <w:numPr>
          <w:ilvl w:val="0"/>
          <w:numId w:val="14"/>
        </w:numPr>
      </w:pPr>
      <w:r>
        <w:t xml:space="preserve">If a MUP </w:t>
      </w:r>
      <w:r w:rsidR="008419FB">
        <w:t>is still required</w:t>
      </w:r>
      <w:r>
        <w:t xml:space="preserve">, </w:t>
      </w:r>
      <w:r w:rsidR="6FDFF253">
        <w:t xml:space="preserve">such as Design Review, </w:t>
      </w:r>
      <w:r>
        <w:t xml:space="preserve">then plans will continue to be available for viewing within the </w:t>
      </w:r>
      <w:hyperlink r:id="rId8">
        <w:r w:rsidRPr="190815F7">
          <w:rPr>
            <w:rStyle w:val="Hyperlink"/>
          </w:rPr>
          <w:t>Seattle Services Portal</w:t>
        </w:r>
      </w:hyperlink>
      <w:r>
        <w:t xml:space="preserve"> via the related address</w:t>
      </w:r>
      <w:r w:rsidR="00FE65CE">
        <w:t xml:space="preserve">, </w:t>
      </w:r>
      <w:r>
        <w:t>project number</w:t>
      </w:r>
      <w:r w:rsidR="00FE65CE">
        <w:t>,</w:t>
      </w:r>
      <w:r w:rsidR="003220AB">
        <w:t xml:space="preserve"> or </w:t>
      </w:r>
      <w:r w:rsidR="008A0675">
        <w:t xml:space="preserve">by searching </w:t>
      </w:r>
      <w:hyperlink r:id="rId9">
        <w:r w:rsidR="008A0675" w:rsidRPr="190815F7">
          <w:rPr>
            <w:rStyle w:val="Hyperlink"/>
          </w:rPr>
          <w:t>Shaping Seattle</w:t>
        </w:r>
      </w:hyperlink>
      <w:r>
        <w:t>.</w:t>
      </w:r>
    </w:p>
    <w:p w14:paraId="41BCB640" w14:textId="070A7803" w:rsidR="001810DD" w:rsidRDefault="001810DD" w:rsidP="001810DD">
      <w:pPr>
        <w:pStyle w:val="ListParagraph"/>
        <w:numPr>
          <w:ilvl w:val="0"/>
          <w:numId w:val="14"/>
        </w:numPr>
      </w:pPr>
      <w:r>
        <w:t xml:space="preserve">If only a construction permit is required (no MUP), then the public can request a copy of the plans </w:t>
      </w:r>
      <w:r w:rsidR="00AC6D6F">
        <w:t xml:space="preserve">by </w:t>
      </w:r>
      <w:r w:rsidR="008F22EE">
        <w:t>contacting</w:t>
      </w:r>
      <w:r>
        <w:t xml:space="preserve"> our microfilm library </w:t>
      </w:r>
      <w:r w:rsidR="008F22EE">
        <w:t>and citing an</w:t>
      </w:r>
      <w:r>
        <w:t xml:space="preserve"> address or project number.</w:t>
      </w:r>
    </w:p>
    <w:p w14:paraId="122767DC" w14:textId="34FA5CFC" w:rsidR="008942D8" w:rsidRDefault="008F22EE" w:rsidP="008F22EE">
      <w:pPr>
        <w:pStyle w:val="ListParagraph"/>
        <w:numPr>
          <w:ilvl w:val="1"/>
          <w:numId w:val="14"/>
        </w:numPr>
      </w:pPr>
      <w:r w:rsidRPr="008F22EE">
        <w:t>The library can be contacted anytime at </w:t>
      </w:r>
      <w:hyperlink r:id="rId10" w:history="1">
        <w:r w:rsidRPr="008F22EE">
          <w:rPr>
            <w:rStyle w:val="Hyperlink"/>
          </w:rPr>
          <w:t>(206) 233-5180</w:t>
        </w:r>
      </w:hyperlink>
      <w:r w:rsidRPr="008F22EE">
        <w:t> (message only) or at </w:t>
      </w:r>
      <w:hyperlink r:id="rId11" w:history="1">
        <w:r w:rsidRPr="008F22EE">
          <w:rPr>
            <w:rStyle w:val="Hyperlink"/>
          </w:rPr>
          <w:t>sci_microfilm@seattle.gov</w:t>
        </w:r>
      </w:hyperlink>
      <w:r w:rsidRPr="008F22EE">
        <w:t> for questions or requests.</w:t>
      </w:r>
    </w:p>
    <w:p w14:paraId="224A852C" w14:textId="77777777" w:rsidR="001810DD" w:rsidRDefault="001810DD" w:rsidP="001810DD">
      <w:pPr>
        <w:rPr>
          <w:b/>
          <w:bCs/>
        </w:rPr>
      </w:pPr>
    </w:p>
    <w:p w14:paraId="33A7B288" w14:textId="76C483C9" w:rsidR="003A6707" w:rsidRPr="001810DD" w:rsidRDefault="001810DD">
      <w:pPr>
        <w:rPr>
          <w:b/>
          <w:bCs/>
        </w:rPr>
      </w:pPr>
      <w:r w:rsidRPr="708D0C35">
        <w:rPr>
          <w:b/>
          <w:bCs/>
        </w:rPr>
        <w:t>Who do I contact about my housing proposal and whether it’s exempt from SEPA?</w:t>
      </w:r>
    </w:p>
    <w:p w14:paraId="591FFDC3" w14:textId="0328A4D4" w:rsidR="30382AF9" w:rsidRDefault="30382AF9" w:rsidP="708D0C35">
      <w:pPr>
        <w:pStyle w:val="ListParagraph"/>
        <w:numPr>
          <w:ilvl w:val="0"/>
          <w:numId w:val="1"/>
        </w:numPr>
      </w:pPr>
      <w:r>
        <w:t>For questions about a future housing proposal not yet submitted</w:t>
      </w:r>
      <w:r w:rsidR="3190836D">
        <w:t xml:space="preserve"> for a permit</w:t>
      </w:r>
      <w:r w:rsidR="00B023B3">
        <w:t xml:space="preserve"> - </w:t>
      </w:r>
      <w:r>
        <w:t xml:space="preserve">please submit your questions </w:t>
      </w:r>
      <w:hyperlink r:id="rId12" w:history="1">
        <w:r w:rsidR="0EC00812" w:rsidRPr="003D0128">
          <w:rPr>
            <w:rStyle w:val="Hyperlink"/>
          </w:rPr>
          <w:t>here</w:t>
        </w:r>
      </w:hyperlink>
      <w:r w:rsidR="0998697E">
        <w:t>.</w:t>
      </w:r>
    </w:p>
    <w:p w14:paraId="26E6512A" w14:textId="38297AB5" w:rsidR="003E09DF" w:rsidRDefault="003E09DF" w:rsidP="708D0C35">
      <w:pPr>
        <w:pStyle w:val="ListParagraph"/>
        <w:numPr>
          <w:ilvl w:val="0"/>
          <w:numId w:val="1"/>
        </w:numPr>
      </w:pPr>
      <w:r>
        <w:t>SDCI is currently developing a process to withdraw the SEPA component from MUPs currently under review. We will contact project applicants and post instructions to our website by early July.</w:t>
      </w:r>
    </w:p>
    <w:sectPr w:rsidR="003E09DF" w:rsidSect="001D491B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E81F" w14:textId="77777777" w:rsidR="00603EF2" w:rsidRDefault="00603EF2" w:rsidP="001810DD">
      <w:r>
        <w:separator/>
      </w:r>
    </w:p>
  </w:endnote>
  <w:endnote w:type="continuationSeparator" w:id="0">
    <w:p w14:paraId="297D1BFC" w14:textId="77777777" w:rsidR="00603EF2" w:rsidRDefault="00603EF2" w:rsidP="001810DD">
      <w:r>
        <w:continuationSeparator/>
      </w:r>
    </w:p>
  </w:endnote>
  <w:endnote w:type="continuationNotice" w:id="1">
    <w:p w14:paraId="11EDC68F" w14:textId="77777777" w:rsidR="00603EF2" w:rsidRDefault="00603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10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CCF123" w14:textId="77777777" w:rsidR="001D491B" w:rsidRDefault="001D491B" w:rsidP="001D491B">
            <w:pPr>
              <w:pStyle w:val="Footer"/>
              <w:jc w:val="right"/>
            </w:pPr>
            <w:r w:rsidRPr="00AE6C41">
              <w:t xml:space="preserve">Page </w:t>
            </w:r>
            <w:r w:rsidRPr="00AE6C41">
              <w:rPr>
                <w:bCs/>
                <w:sz w:val="24"/>
                <w:szCs w:val="24"/>
              </w:rPr>
              <w:fldChar w:fldCharType="begin"/>
            </w:r>
            <w:r w:rsidRPr="00AE6C41">
              <w:rPr>
                <w:bCs/>
              </w:rPr>
              <w:instrText xml:space="preserve"> PAGE </w:instrText>
            </w:r>
            <w:r w:rsidRPr="00AE6C4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AE6C41">
              <w:rPr>
                <w:bCs/>
                <w:sz w:val="24"/>
                <w:szCs w:val="24"/>
              </w:rPr>
              <w:fldChar w:fldCharType="end"/>
            </w:r>
            <w:r w:rsidRPr="00AE6C41">
              <w:t xml:space="preserve"> of </w:t>
            </w:r>
            <w:r w:rsidRPr="00AE6C41">
              <w:rPr>
                <w:bCs/>
                <w:sz w:val="24"/>
                <w:szCs w:val="24"/>
              </w:rPr>
              <w:fldChar w:fldCharType="begin"/>
            </w:r>
            <w:r w:rsidRPr="00AE6C41">
              <w:rPr>
                <w:bCs/>
              </w:rPr>
              <w:instrText xml:space="preserve"> NUMPAGES  </w:instrText>
            </w:r>
            <w:r w:rsidRPr="00AE6C4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AE6C4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0F7E8" w14:textId="77777777" w:rsidR="001810DD" w:rsidRDefault="00181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0708" w14:textId="1116CDC4" w:rsidR="001810DD" w:rsidRPr="001D491B" w:rsidRDefault="001D491B" w:rsidP="001D491B">
    <w:pPr>
      <w:pStyle w:val="Footer"/>
      <w:ind w:left="-907" w:right="-907"/>
      <w:jc w:val="center"/>
      <w:rPr>
        <w:color w:val="003DA5"/>
        <w:spacing w:val="1"/>
        <w:sz w:val="18"/>
      </w:rPr>
    </w:pPr>
    <w:r>
      <w:rPr>
        <w:noProof/>
        <w:color w:val="003DA5"/>
        <w:spacing w:val="1"/>
        <w:sz w:val="1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970FA3F" wp14:editId="2E3D2DBC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EF5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38pt" to="7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342BE6">
      <w:rPr>
        <w:color w:val="003DA5"/>
        <w:spacing w:val="1"/>
        <w:sz w:val="18"/>
      </w:rPr>
      <w:t xml:space="preserve">700 Fifth Avenue, Suite </w:t>
    </w:r>
    <w:proofErr w:type="gramStart"/>
    <w:r>
      <w:rPr>
        <w:color w:val="003DA5"/>
        <w:spacing w:val="1"/>
        <w:sz w:val="18"/>
      </w:rPr>
      <w:t>2000</w:t>
    </w:r>
    <w:r w:rsidRPr="00342BE6">
      <w:rPr>
        <w:color w:val="003DA5"/>
        <w:spacing w:val="1"/>
        <w:sz w:val="18"/>
      </w:rPr>
      <w:t xml:space="preserve"> </w:t>
    </w:r>
    <w:r w:rsidRPr="00C7605A">
      <w:rPr>
        <w:color w:val="000000" w:themeColor="text1"/>
        <w:spacing w:val="1"/>
        <w:sz w:val="18"/>
      </w:rPr>
      <w:t xml:space="preserve"> |</w:t>
    </w:r>
    <w:proofErr w:type="gramEnd"/>
    <w:r w:rsidRPr="00C7605A">
      <w:rPr>
        <w:color w:val="000000" w:themeColor="text1"/>
        <w:spacing w:val="1"/>
        <w:sz w:val="18"/>
      </w:rPr>
      <w:t xml:space="preserve"> </w:t>
    </w:r>
    <w:r w:rsidRPr="00342BE6">
      <w:rPr>
        <w:color w:val="003DA5"/>
        <w:spacing w:val="1"/>
        <w:sz w:val="18"/>
      </w:rPr>
      <w:t xml:space="preserve"> PO Box </w:t>
    </w:r>
    <w:r>
      <w:rPr>
        <w:color w:val="003DA5"/>
        <w:spacing w:val="1"/>
        <w:sz w:val="18"/>
      </w:rPr>
      <w:t>34019</w:t>
    </w:r>
    <w:r w:rsidRPr="00342BE6">
      <w:rPr>
        <w:color w:val="003DA5"/>
        <w:spacing w:val="1"/>
        <w:sz w:val="18"/>
      </w:rPr>
      <w:t xml:space="preserve"> </w:t>
    </w:r>
    <w:r w:rsidRPr="00C7605A">
      <w:rPr>
        <w:color w:val="000000" w:themeColor="text1"/>
        <w:spacing w:val="1"/>
        <w:sz w:val="18"/>
      </w:rPr>
      <w:t xml:space="preserve"> |  </w:t>
    </w:r>
    <w:r w:rsidRPr="00342BE6">
      <w:rPr>
        <w:color w:val="003DA5"/>
        <w:spacing w:val="1"/>
        <w:sz w:val="18"/>
      </w:rPr>
      <w:t>Seat</w:t>
    </w:r>
    <w:r>
      <w:rPr>
        <w:color w:val="003DA5"/>
        <w:spacing w:val="1"/>
        <w:sz w:val="18"/>
      </w:rPr>
      <w:t>tle, WA 98124-4019</w:t>
    </w:r>
    <w:r w:rsidRPr="00342BE6">
      <w:rPr>
        <w:color w:val="003DA5"/>
        <w:spacing w:val="1"/>
        <w:sz w:val="18"/>
      </w:rPr>
      <w:t xml:space="preserve">  </w:t>
    </w:r>
    <w:r w:rsidRPr="00C7605A">
      <w:rPr>
        <w:color w:val="000000" w:themeColor="text1"/>
        <w:spacing w:val="1"/>
        <w:sz w:val="18"/>
      </w:rPr>
      <w:t>|</w:t>
    </w:r>
    <w:r w:rsidRPr="00342BE6">
      <w:rPr>
        <w:color w:val="003DA5"/>
        <w:spacing w:val="1"/>
        <w:sz w:val="18"/>
      </w:rPr>
      <w:t xml:space="preserve">  206-</w:t>
    </w:r>
    <w:r>
      <w:rPr>
        <w:color w:val="003DA5"/>
        <w:spacing w:val="1"/>
        <w:sz w:val="18"/>
      </w:rPr>
      <w:t>684</w:t>
    </w:r>
    <w:r w:rsidRPr="00342BE6">
      <w:rPr>
        <w:color w:val="003DA5"/>
        <w:spacing w:val="1"/>
        <w:sz w:val="18"/>
      </w:rPr>
      <w:t>-</w:t>
    </w:r>
    <w:r>
      <w:rPr>
        <w:color w:val="003DA5"/>
        <w:spacing w:val="1"/>
        <w:sz w:val="18"/>
      </w:rPr>
      <w:t>8600</w:t>
    </w:r>
    <w:r w:rsidRPr="00342BE6">
      <w:rPr>
        <w:color w:val="003DA5"/>
        <w:spacing w:val="1"/>
        <w:sz w:val="18"/>
      </w:rPr>
      <w:t xml:space="preserve">  </w:t>
    </w:r>
    <w:r w:rsidRPr="00C7605A">
      <w:rPr>
        <w:color w:val="000000" w:themeColor="text1"/>
        <w:spacing w:val="1"/>
        <w:sz w:val="18"/>
      </w:rPr>
      <w:t>|</w:t>
    </w:r>
    <w:r>
      <w:rPr>
        <w:color w:val="003DA5"/>
        <w:spacing w:val="1"/>
        <w:sz w:val="18"/>
      </w:rPr>
      <w:t xml:space="preserve">  seattle.gov/</w:t>
    </w:r>
    <w:proofErr w:type="spellStart"/>
    <w:r>
      <w:rPr>
        <w:color w:val="003DA5"/>
        <w:spacing w:val="1"/>
        <w:sz w:val="18"/>
      </w:rPr>
      <w:t>sdci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9C96" w14:textId="77777777" w:rsidR="00603EF2" w:rsidRDefault="00603EF2" w:rsidP="001810DD">
      <w:r>
        <w:separator/>
      </w:r>
    </w:p>
  </w:footnote>
  <w:footnote w:type="continuationSeparator" w:id="0">
    <w:p w14:paraId="05F7814B" w14:textId="77777777" w:rsidR="00603EF2" w:rsidRDefault="00603EF2" w:rsidP="001810DD">
      <w:r>
        <w:continuationSeparator/>
      </w:r>
    </w:p>
  </w:footnote>
  <w:footnote w:type="continuationNotice" w:id="1">
    <w:p w14:paraId="28A76868" w14:textId="77777777" w:rsidR="00603EF2" w:rsidRDefault="00603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E4E9" w14:textId="77777777" w:rsidR="001D491B" w:rsidRPr="00AC5D35" w:rsidRDefault="001D491B" w:rsidP="001D491B">
    <w:pPr>
      <w:pStyle w:val="Head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18AFF" wp14:editId="743E35FF">
              <wp:simplePos x="0" y="0"/>
              <wp:positionH relativeFrom="margin">
                <wp:posOffset>2519680</wp:posOffset>
              </wp:positionH>
              <wp:positionV relativeFrom="paragraph">
                <wp:posOffset>161925</wp:posOffset>
              </wp:positionV>
              <wp:extent cx="4038600" cy="0"/>
              <wp:effectExtent l="0" t="0" r="0" b="0"/>
              <wp:wrapNone/>
              <wp:docPr id="593971294" name="Straight Connector 593971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4EF127" id="Straight Connector 59397129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8.4pt,12.75pt" to="516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" strokecolor="black [3213]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1" layoutInCell="1" allowOverlap="0" wp14:anchorId="11AA5DEB" wp14:editId="4FE1B199">
          <wp:simplePos x="0" y="0"/>
          <wp:positionH relativeFrom="page">
            <wp:posOffset>-29210</wp:posOffset>
          </wp:positionH>
          <wp:positionV relativeFrom="topMargin">
            <wp:posOffset>-50800</wp:posOffset>
          </wp:positionV>
          <wp:extent cx="3310255" cy="819150"/>
          <wp:effectExtent l="0" t="0" r="0" b="0"/>
          <wp:wrapSquare wrapText="bothSides"/>
          <wp:docPr id="1929873858" name="Picture 192987385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73858" name="Picture 1929873858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612"/>
                  <a:stretch/>
                </pic:blipFill>
                <pic:spPr bwMode="auto">
                  <a:xfrm>
                    <a:off x="0" y="0"/>
                    <a:ext cx="331025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B8E6D6" w14:textId="77777777" w:rsidR="001810DD" w:rsidRDefault="00181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CF7"/>
    <w:multiLevelType w:val="hybridMultilevel"/>
    <w:tmpl w:val="D7CE7F0E"/>
    <w:lvl w:ilvl="0" w:tplc="9F6EB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83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0F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46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6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A6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8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21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C8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9A9"/>
    <w:multiLevelType w:val="hybridMultilevel"/>
    <w:tmpl w:val="A144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FCC1"/>
    <w:multiLevelType w:val="hybridMultilevel"/>
    <w:tmpl w:val="92F69452"/>
    <w:lvl w:ilvl="0" w:tplc="87C89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E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6F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0F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E6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2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8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6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4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BEF9"/>
    <w:multiLevelType w:val="hybridMultilevel"/>
    <w:tmpl w:val="6E24F120"/>
    <w:lvl w:ilvl="0" w:tplc="01A2E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C3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F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3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6A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26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6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AD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2380"/>
    <w:multiLevelType w:val="hybridMultilevel"/>
    <w:tmpl w:val="62C0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7E6B"/>
    <w:multiLevelType w:val="hybridMultilevel"/>
    <w:tmpl w:val="474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4BA4"/>
    <w:multiLevelType w:val="hybridMultilevel"/>
    <w:tmpl w:val="24EA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A3095"/>
    <w:multiLevelType w:val="hybridMultilevel"/>
    <w:tmpl w:val="0140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A56A3"/>
    <w:multiLevelType w:val="hybridMultilevel"/>
    <w:tmpl w:val="E61C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42527">
    <w:abstractNumId w:val="0"/>
  </w:num>
  <w:num w:numId="2" w16cid:durableId="1102721970">
    <w:abstractNumId w:val="3"/>
  </w:num>
  <w:num w:numId="3" w16cid:durableId="557208802">
    <w:abstractNumId w:val="2"/>
  </w:num>
  <w:num w:numId="4" w16cid:durableId="1550457230">
    <w:abstractNumId w:val="6"/>
  </w:num>
  <w:num w:numId="5" w16cid:durableId="611743857">
    <w:abstractNumId w:val="5"/>
  </w:num>
  <w:num w:numId="6" w16cid:durableId="1791121198">
    <w:abstractNumId w:val="7"/>
  </w:num>
  <w:num w:numId="7" w16cid:durableId="1463188197">
    <w:abstractNumId w:val="4"/>
  </w:num>
  <w:num w:numId="8" w16cid:durableId="1649822348">
    <w:abstractNumId w:val="1"/>
  </w:num>
  <w:num w:numId="9" w16cid:durableId="1275475423">
    <w:abstractNumId w:val="1"/>
  </w:num>
  <w:num w:numId="10" w16cid:durableId="1842620838">
    <w:abstractNumId w:val="8"/>
  </w:num>
  <w:num w:numId="11" w16cid:durableId="780952620">
    <w:abstractNumId w:val="6"/>
  </w:num>
  <w:num w:numId="12" w16cid:durableId="913927203">
    <w:abstractNumId w:val="5"/>
  </w:num>
  <w:num w:numId="13" w16cid:durableId="1398015921">
    <w:abstractNumId w:val="7"/>
  </w:num>
  <w:num w:numId="14" w16cid:durableId="1263225259">
    <w:abstractNumId w:val="4"/>
  </w:num>
  <w:num w:numId="15" w16cid:durableId="150026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D"/>
    <w:rsid w:val="000064A7"/>
    <w:rsid w:val="0001488B"/>
    <w:rsid w:val="00024F02"/>
    <w:rsid w:val="00065B07"/>
    <w:rsid w:val="000743BE"/>
    <w:rsid w:val="00094869"/>
    <w:rsid w:val="000B15F2"/>
    <w:rsid w:val="000C2B65"/>
    <w:rsid w:val="000C5AC7"/>
    <w:rsid w:val="000E0179"/>
    <w:rsid w:val="000F0EFF"/>
    <w:rsid w:val="000F7820"/>
    <w:rsid w:val="00101ED7"/>
    <w:rsid w:val="001021EE"/>
    <w:rsid w:val="0012676A"/>
    <w:rsid w:val="00137DBB"/>
    <w:rsid w:val="00144057"/>
    <w:rsid w:val="00162C6A"/>
    <w:rsid w:val="00174362"/>
    <w:rsid w:val="001810DD"/>
    <w:rsid w:val="001848CB"/>
    <w:rsid w:val="001A5DB6"/>
    <w:rsid w:val="001B0255"/>
    <w:rsid w:val="001B48C7"/>
    <w:rsid w:val="001B5ACB"/>
    <w:rsid w:val="001C06B7"/>
    <w:rsid w:val="001C14E0"/>
    <w:rsid w:val="001D491B"/>
    <w:rsid w:val="001D7337"/>
    <w:rsid w:val="001E73B4"/>
    <w:rsid w:val="001F1FEB"/>
    <w:rsid w:val="001F24AB"/>
    <w:rsid w:val="002105F1"/>
    <w:rsid w:val="00212EDC"/>
    <w:rsid w:val="002152D3"/>
    <w:rsid w:val="00221BD5"/>
    <w:rsid w:val="00225785"/>
    <w:rsid w:val="0022752C"/>
    <w:rsid w:val="00234F8B"/>
    <w:rsid w:val="002453F7"/>
    <w:rsid w:val="0025258B"/>
    <w:rsid w:val="002602A5"/>
    <w:rsid w:val="00272C59"/>
    <w:rsid w:val="00282422"/>
    <w:rsid w:val="00292F7F"/>
    <w:rsid w:val="002A14D3"/>
    <w:rsid w:val="002A7461"/>
    <w:rsid w:val="002B0AA6"/>
    <w:rsid w:val="002C27AC"/>
    <w:rsid w:val="002D19CD"/>
    <w:rsid w:val="002D292B"/>
    <w:rsid w:val="002D4EFF"/>
    <w:rsid w:val="002E1DB1"/>
    <w:rsid w:val="002F08A0"/>
    <w:rsid w:val="002F0B22"/>
    <w:rsid w:val="002F109B"/>
    <w:rsid w:val="002F114A"/>
    <w:rsid w:val="002F30AD"/>
    <w:rsid w:val="0030378A"/>
    <w:rsid w:val="00320BCF"/>
    <w:rsid w:val="00321EE4"/>
    <w:rsid w:val="003220AB"/>
    <w:rsid w:val="003325FF"/>
    <w:rsid w:val="00336E82"/>
    <w:rsid w:val="00355555"/>
    <w:rsid w:val="0035721A"/>
    <w:rsid w:val="00367518"/>
    <w:rsid w:val="00384200"/>
    <w:rsid w:val="00386453"/>
    <w:rsid w:val="003876E8"/>
    <w:rsid w:val="00392D5B"/>
    <w:rsid w:val="00393F98"/>
    <w:rsid w:val="00395A40"/>
    <w:rsid w:val="003A1C9C"/>
    <w:rsid w:val="003A6707"/>
    <w:rsid w:val="003B2748"/>
    <w:rsid w:val="003D0128"/>
    <w:rsid w:val="003D47A7"/>
    <w:rsid w:val="003D5A96"/>
    <w:rsid w:val="003E09DF"/>
    <w:rsid w:val="003E16C6"/>
    <w:rsid w:val="003E1EB2"/>
    <w:rsid w:val="003F59BB"/>
    <w:rsid w:val="004007D1"/>
    <w:rsid w:val="004254BD"/>
    <w:rsid w:val="0043181A"/>
    <w:rsid w:val="00433281"/>
    <w:rsid w:val="0046679A"/>
    <w:rsid w:val="00482FFE"/>
    <w:rsid w:val="00496040"/>
    <w:rsid w:val="004E5B80"/>
    <w:rsid w:val="00507BF6"/>
    <w:rsid w:val="00513ACF"/>
    <w:rsid w:val="0051673A"/>
    <w:rsid w:val="00524828"/>
    <w:rsid w:val="005273A3"/>
    <w:rsid w:val="00537E78"/>
    <w:rsid w:val="00572430"/>
    <w:rsid w:val="00595CF8"/>
    <w:rsid w:val="00595DEF"/>
    <w:rsid w:val="005A2E25"/>
    <w:rsid w:val="005A4D22"/>
    <w:rsid w:val="005A5BBC"/>
    <w:rsid w:val="005B1A20"/>
    <w:rsid w:val="005D6721"/>
    <w:rsid w:val="00603EF2"/>
    <w:rsid w:val="0061048A"/>
    <w:rsid w:val="006170D2"/>
    <w:rsid w:val="006213BD"/>
    <w:rsid w:val="00623ACC"/>
    <w:rsid w:val="0062485A"/>
    <w:rsid w:val="00634064"/>
    <w:rsid w:val="006456F4"/>
    <w:rsid w:val="00645A6D"/>
    <w:rsid w:val="0065292B"/>
    <w:rsid w:val="00654F81"/>
    <w:rsid w:val="0065656F"/>
    <w:rsid w:val="006579E7"/>
    <w:rsid w:val="0066145F"/>
    <w:rsid w:val="00681A9A"/>
    <w:rsid w:val="00687F39"/>
    <w:rsid w:val="00690D19"/>
    <w:rsid w:val="00692170"/>
    <w:rsid w:val="006B69C0"/>
    <w:rsid w:val="006D58CD"/>
    <w:rsid w:val="006D70F2"/>
    <w:rsid w:val="006E63E9"/>
    <w:rsid w:val="006E741C"/>
    <w:rsid w:val="006F24F7"/>
    <w:rsid w:val="00720E3D"/>
    <w:rsid w:val="00734D48"/>
    <w:rsid w:val="0076244C"/>
    <w:rsid w:val="0076740B"/>
    <w:rsid w:val="007812DD"/>
    <w:rsid w:val="007912FE"/>
    <w:rsid w:val="007A229D"/>
    <w:rsid w:val="007A6C24"/>
    <w:rsid w:val="007B4183"/>
    <w:rsid w:val="007D7719"/>
    <w:rsid w:val="007E6CA0"/>
    <w:rsid w:val="007F4D7D"/>
    <w:rsid w:val="007F74B6"/>
    <w:rsid w:val="008004B0"/>
    <w:rsid w:val="00800FFF"/>
    <w:rsid w:val="00802E5A"/>
    <w:rsid w:val="008419FB"/>
    <w:rsid w:val="0084377D"/>
    <w:rsid w:val="00847C73"/>
    <w:rsid w:val="0085230B"/>
    <w:rsid w:val="0087578C"/>
    <w:rsid w:val="00877A37"/>
    <w:rsid w:val="00882597"/>
    <w:rsid w:val="00884D7B"/>
    <w:rsid w:val="008942D8"/>
    <w:rsid w:val="008A0675"/>
    <w:rsid w:val="008B54F8"/>
    <w:rsid w:val="008C1D37"/>
    <w:rsid w:val="008D0978"/>
    <w:rsid w:val="008F1FBD"/>
    <w:rsid w:val="008F22EE"/>
    <w:rsid w:val="008F5582"/>
    <w:rsid w:val="00903EBC"/>
    <w:rsid w:val="00904689"/>
    <w:rsid w:val="009048F3"/>
    <w:rsid w:val="00922326"/>
    <w:rsid w:val="00926AB2"/>
    <w:rsid w:val="00935CF0"/>
    <w:rsid w:val="009448F0"/>
    <w:rsid w:val="009535A8"/>
    <w:rsid w:val="00970E65"/>
    <w:rsid w:val="00990853"/>
    <w:rsid w:val="009D6188"/>
    <w:rsid w:val="009E6A14"/>
    <w:rsid w:val="00A0398A"/>
    <w:rsid w:val="00A03A48"/>
    <w:rsid w:val="00A04A30"/>
    <w:rsid w:val="00A32B59"/>
    <w:rsid w:val="00A416AB"/>
    <w:rsid w:val="00A51D11"/>
    <w:rsid w:val="00A527DB"/>
    <w:rsid w:val="00A67642"/>
    <w:rsid w:val="00A76118"/>
    <w:rsid w:val="00A81FEC"/>
    <w:rsid w:val="00A84CD7"/>
    <w:rsid w:val="00A904C2"/>
    <w:rsid w:val="00A94CB3"/>
    <w:rsid w:val="00A97CEA"/>
    <w:rsid w:val="00AA05F8"/>
    <w:rsid w:val="00AA72CA"/>
    <w:rsid w:val="00AB059F"/>
    <w:rsid w:val="00AB37B1"/>
    <w:rsid w:val="00AC559E"/>
    <w:rsid w:val="00AC5853"/>
    <w:rsid w:val="00AC6D6F"/>
    <w:rsid w:val="00AD0C71"/>
    <w:rsid w:val="00B023B3"/>
    <w:rsid w:val="00B31E77"/>
    <w:rsid w:val="00B42CBA"/>
    <w:rsid w:val="00B46DC4"/>
    <w:rsid w:val="00B515C4"/>
    <w:rsid w:val="00B8284D"/>
    <w:rsid w:val="00B93D6A"/>
    <w:rsid w:val="00B9607C"/>
    <w:rsid w:val="00B963C5"/>
    <w:rsid w:val="00BA5709"/>
    <w:rsid w:val="00BB3202"/>
    <w:rsid w:val="00BC5A88"/>
    <w:rsid w:val="00BE26DC"/>
    <w:rsid w:val="00BE6559"/>
    <w:rsid w:val="00BF475C"/>
    <w:rsid w:val="00BF6806"/>
    <w:rsid w:val="00C213D7"/>
    <w:rsid w:val="00C327F0"/>
    <w:rsid w:val="00C36CE9"/>
    <w:rsid w:val="00C53A49"/>
    <w:rsid w:val="00C67A60"/>
    <w:rsid w:val="00C762A9"/>
    <w:rsid w:val="00C7746D"/>
    <w:rsid w:val="00C80316"/>
    <w:rsid w:val="00C82AFC"/>
    <w:rsid w:val="00C84E43"/>
    <w:rsid w:val="00C872E4"/>
    <w:rsid w:val="00C8736A"/>
    <w:rsid w:val="00CA01E6"/>
    <w:rsid w:val="00CA021C"/>
    <w:rsid w:val="00CA2F92"/>
    <w:rsid w:val="00CA38D8"/>
    <w:rsid w:val="00CB343D"/>
    <w:rsid w:val="00CC7F5F"/>
    <w:rsid w:val="00CD6D31"/>
    <w:rsid w:val="00CE2554"/>
    <w:rsid w:val="00CE7EED"/>
    <w:rsid w:val="00CF1380"/>
    <w:rsid w:val="00CF30F3"/>
    <w:rsid w:val="00D02CAE"/>
    <w:rsid w:val="00D14B0B"/>
    <w:rsid w:val="00D16280"/>
    <w:rsid w:val="00D25C68"/>
    <w:rsid w:val="00D355EF"/>
    <w:rsid w:val="00D53689"/>
    <w:rsid w:val="00D62F37"/>
    <w:rsid w:val="00D72E94"/>
    <w:rsid w:val="00D916F6"/>
    <w:rsid w:val="00DA7594"/>
    <w:rsid w:val="00DB4015"/>
    <w:rsid w:val="00DD458F"/>
    <w:rsid w:val="00DF587B"/>
    <w:rsid w:val="00E0141F"/>
    <w:rsid w:val="00E27CCD"/>
    <w:rsid w:val="00E3543B"/>
    <w:rsid w:val="00E46C7D"/>
    <w:rsid w:val="00E47D1E"/>
    <w:rsid w:val="00E50E70"/>
    <w:rsid w:val="00E52B9D"/>
    <w:rsid w:val="00E52EBF"/>
    <w:rsid w:val="00E57D00"/>
    <w:rsid w:val="00E60048"/>
    <w:rsid w:val="00E70531"/>
    <w:rsid w:val="00E7184E"/>
    <w:rsid w:val="00E7628B"/>
    <w:rsid w:val="00E7782C"/>
    <w:rsid w:val="00E8087C"/>
    <w:rsid w:val="00E85AF3"/>
    <w:rsid w:val="00E9319C"/>
    <w:rsid w:val="00EA67D9"/>
    <w:rsid w:val="00EB07DB"/>
    <w:rsid w:val="00EC1999"/>
    <w:rsid w:val="00ED38D0"/>
    <w:rsid w:val="00EE2696"/>
    <w:rsid w:val="00EE5AD5"/>
    <w:rsid w:val="00F05130"/>
    <w:rsid w:val="00F1769A"/>
    <w:rsid w:val="00F20BE0"/>
    <w:rsid w:val="00F25CD5"/>
    <w:rsid w:val="00F43323"/>
    <w:rsid w:val="00F512E4"/>
    <w:rsid w:val="00F6290C"/>
    <w:rsid w:val="00F717AB"/>
    <w:rsid w:val="00F84118"/>
    <w:rsid w:val="00F91CF7"/>
    <w:rsid w:val="00F92E11"/>
    <w:rsid w:val="00F96FE2"/>
    <w:rsid w:val="00FA7F37"/>
    <w:rsid w:val="00FD3B9C"/>
    <w:rsid w:val="00FD50CB"/>
    <w:rsid w:val="00FE5D0D"/>
    <w:rsid w:val="00FE65CE"/>
    <w:rsid w:val="00FF0826"/>
    <w:rsid w:val="00FF3D8C"/>
    <w:rsid w:val="03BB2052"/>
    <w:rsid w:val="05DC9543"/>
    <w:rsid w:val="06C0A68E"/>
    <w:rsid w:val="07F6B319"/>
    <w:rsid w:val="0998697E"/>
    <w:rsid w:val="09AA7124"/>
    <w:rsid w:val="0AB3AC87"/>
    <w:rsid w:val="0B96F8C7"/>
    <w:rsid w:val="0C60A8B0"/>
    <w:rsid w:val="0D92A452"/>
    <w:rsid w:val="0EC00812"/>
    <w:rsid w:val="10E864A4"/>
    <w:rsid w:val="10F55520"/>
    <w:rsid w:val="1137A6F3"/>
    <w:rsid w:val="11CDAF47"/>
    <w:rsid w:val="14624591"/>
    <w:rsid w:val="14CF68E2"/>
    <w:rsid w:val="15B31EF3"/>
    <w:rsid w:val="15D4ADA4"/>
    <w:rsid w:val="190815F7"/>
    <w:rsid w:val="196D45EF"/>
    <w:rsid w:val="1C7D25C4"/>
    <w:rsid w:val="220AE3A2"/>
    <w:rsid w:val="22F55490"/>
    <w:rsid w:val="274D7F53"/>
    <w:rsid w:val="27E6AFCA"/>
    <w:rsid w:val="289DCD00"/>
    <w:rsid w:val="28A639CF"/>
    <w:rsid w:val="28C17708"/>
    <w:rsid w:val="2B64EAC2"/>
    <w:rsid w:val="2D697B1F"/>
    <w:rsid w:val="2FEF30FE"/>
    <w:rsid w:val="30382AF9"/>
    <w:rsid w:val="3190836D"/>
    <w:rsid w:val="3476B05E"/>
    <w:rsid w:val="350E038B"/>
    <w:rsid w:val="36F5DC91"/>
    <w:rsid w:val="38217EE9"/>
    <w:rsid w:val="3831F072"/>
    <w:rsid w:val="3C9F22ED"/>
    <w:rsid w:val="405C5689"/>
    <w:rsid w:val="467CC323"/>
    <w:rsid w:val="477F568D"/>
    <w:rsid w:val="4A071D3C"/>
    <w:rsid w:val="4D10A37C"/>
    <w:rsid w:val="5125ABF3"/>
    <w:rsid w:val="51E08260"/>
    <w:rsid w:val="5401B382"/>
    <w:rsid w:val="543D8DFB"/>
    <w:rsid w:val="573D932E"/>
    <w:rsid w:val="59EF8282"/>
    <w:rsid w:val="5B27E066"/>
    <w:rsid w:val="607ACD71"/>
    <w:rsid w:val="61C88AEA"/>
    <w:rsid w:val="6351B6E9"/>
    <w:rsid w:val="6B834892"/>
    <w:rsid w:val="6C62807E"/>
    <w:rsid w:val="6FDFF253"/>
    <w:rsid w:val="708D0C35"/>
    <w:rsid w:val="72168DE9"/>
    <w:rsid w:val="7280BD0D"/>
    <w:rsid w:val="78DCD458"/>
    <w:rsid w:val="792C0BDB"/>
    <w:rsid w:val="7ABE63C4"/>
    <w:rsid w:val="7BD13ABC"/>
    <w:rsid w:val="7DA51D53"/>
    <w:rsid w:val="7FE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6725"/>
  <w15:chartTrackingRefBased/>
  <w15:docId w15:val="{37DA0240-8A39-4CCF-8127-B5A76970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8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DD"/>
  </w:style>
  <w:style w:type="paragraph" w:styleId="Footer">
    <w:name w:val="footer"/>
    <w:basedOn w:val="Normal"/>
    <w:link w:val="FooterChar"/>
    <w:uiPriority w:val="99"/>
    <w:unhideWhenUsed/>
    <w:rsid w:val="0018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DD"/>
  </w:style>
  <w:style w:type="character" w:styleId="CommentReference">
    <w:name w:val="annotation reference"/>
    <w:basedOn w:val="DefaultParagraphFont"/>
    <w:uiPriority w:val="99"/>
    <w:semiHidden/>
    <w:unhideWhenUsed/>
    <w:rsid w:val="002F0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0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B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65B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accela.seattle.gov/portal/Customization/SEATTLE/Welcome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filesext.leg.wa.gov/biennium/2023-24/Pdf/Bills/Senate%20Passed%20Legislature/5412-S2.PL.pdf?q=20230609142306" TargetMode="External"/><Relationship Id="rId12" Type="http://schemas.openxmlformats.org/officeDocument/2006/relationships/hyperlink" Target="https://sdci.zendesk.com/hc/en-us/requests/new?ticket_form_id=15000033568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i_microfilm@seattle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%20+1%20(206)%20233-5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8.seattle.gov/sdci/shapingseattle/building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>City of Seattle</Company>
  <LinksUpToDate>false</LinksUpToDate>
  <CharactersWithSpaces>3592</CharactersWithSpaces>
  <SharedDoc>false</SharedDoc>
  <HLinks>
    <vt:vector size="42" baseType="variant">
      <vt:variant>
        <vt:i4>7340054</vt:i4>
      </vt:variant>
      <vt:variant>
        <vt:i4>18</vt:i4>
      </vt:variant>
      <vt:variant>
        <vt:i4>0</vt:i4>
      </vt:variant>
      <vt:variant>
        <vt:i4>5</vt:i4>
      </vt:variant>
      <vt:variant>
        <vt:lpwstr>mailto:David.VanSkike@seattle.gov</vt:lpwstr>
      </vt:variant>
      <vt:variant>
        <vt:lpwstr/>
      </vt:variant>
      <vt:variant>
        <vt:i4>720907</vt:i4>
      </vt:variant>
      <vt:variant>
        <vt:i4>15</vt:i4>
      </vt:variant>
      <vt:variant>
        <vt:i4>0</vt:i4>
      </vt:variant>
      <vt:variant>
        <vt:i4>5</vt:i4>
      </vt:variant>
      <vt:variant>
        <vt:lpwstr>https://sdci.zendesk.com/hc/en-us/requests/new?ticket_form_id=1500003356822</vt:lpwstr>
      </vt:variant>
      <vt:variant>
        <vt:lpwstr/>
      </vt:variant>
      <vt:variant>
        <vt:i4>983067</vt:i4>
      </vt:variant>
      <vt:variant>
        <vt:i4>12</vt:i4>
      </vt:variant>
      <vt:variant>
        <vt:i4>0</vt:i4>
      </vt:variant>
      <vt:variant>
        <vt:i4>5</vt:i4>
      </vt:variant>
      <vt:variant>
        <vt:lpwstr>mailto:sci_microfilm@seattle.gov</vt:lpwstr>
      </vt:variant>
      <vt:variant>
        <vt:lpwstr/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>tel: +1 (206) 233-5180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https://web8.seattle.gov/sdci/shapingseattle/buildings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https://cosaccela.seattle.gov/portal/Customization/SEATTLE/Welcome.aspx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https://lawfilesext.leg.wa.gov/biennium/2023-24/Pdf/Bills/Senate Passed Legislature/5412-S2.PL.pdf?q=20230609142306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Bryan</dc:creator>
  <cp:keywords/>
  <dc:description/>
  <cp:lastModifiedBy>Stevens, Bryan</cp:lastModifiedBy>
  <cp:revision>3</cp:revision>
  <dcterms:created xsi:type="dcterms:W3CDTF">2023-06-20T18:19:00Z</dcterms:created>
  <dcterms:modified xsi:type="dcterms:W3CDTF">2023-06-26T16:38:00Z</dcterms:modified>
</cp:coreProperties>
</file>