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70"/>
        <w:gridCol w:w="6570"/>
      </w:tblGrid>
      <w:tr w:rsidR="00FE78C4" w14:paraId="152B2726" w14:textId="77777777" w:rsidTr="00BA47B6">
        <w:trPr>
          <w:trHeight w:val="1290"/>
        </w:trPr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16F5B7" w14:textId="77777777" w:rsidR="00FE78C4" w:rsidRPr="003366DF" w:rsidRDefault="00FE78C4" w:rsidP="00BA47B6">
            <w:pPr>
              <w:pStyle w:val="Heading3"/>
              <w:spacing w:after="0"/>
              <w:ind w:left="0"/>
              <w:jc w:val="center"/>
              <w:rPr>
                <w:rFonts w:ascii="Impact" w:hAnsi="Impact" w:cs="Arial"/>
                <w:sz w:val="96"/>
                <w:u w:val="none"/>
              </w:rPr>
            </w:pPr>
            <w:r>
              <w:rPr>
                <w:rFonts w:ascii="Impact" w:hAnsi="Impact" w:cs="Arial"/>
                <w:sz w:val="96"/>
                <w:u w:val="none"/>
              </w:rPr>
              <w:t>DON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2DD1BC9" w14:textId="77777777" w:rsidR="00FE78C4" w:rsidRDefault="00FE78C4" w:rsidP="00BA47B6"/>
        </w:tc>
        <w:tc>
          <w:tcPr>
            <w:tcW w:w="65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7FD19A" w14:textId="77777777" w:rsidR="00FE78C4" w:rsidRPr="00071BC7" w:rsidRDefault="00FE78C4" w:rsidP="00BA47B6">
            <w:pPr>
              <w:pStyle w:val="Heading4"/>
              <w:spacing w:before="6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D98C3DB" w14:textId="1EF26E78" w:rsidR="00FE78C4" w:rsidRPr="007900DE" w:rsidRDefault="00FE78C4" w:rsidP="00BA47B6">
            <w:pPr>
              <w:pStyle w:val="Heading4"/>
              <w:spacing w:before="60"/>
              <w:jc w:val="center"/>
              <w:rPr>
                <w:rFonts w:ascii="Arial Narrow" w:hAnsi="Arial Narrow"/>
                <w:sz w:val="64"/>
                <w:szCs w:val="64"/>
              </w:rPr>
            </w:pPr>
            <w:r w:rsidRPr="007900DE">
              <w:rPr>
                <w:rFonts w:ascii="Arial Narrow" w:hAnsi="Arial Narrow"/>
                <w:sz w:val="64"/>
                <w:szCs w:val="64"/>
              </w:rPr>
              <w:t xml:space="preserve">Director’s Rule </w:t>
            </w:r>
            <w:r w:rsidR="00EC1660">
              <w:rPr>
                <w:rFonts w:ascii="Arial Narrow" w:hAnsi="Arial Narrow"/>
                <w:sz w:val="64"/>
                <w:szCs w:val="64"/>
              </w:rPr>
              <w:t>3</w:t>
            </w:r>
            <w:r w:rsidRPr="00C51580">
              <w:rPr>
                <w:rFonts w:ascii="Arial Narrow" w:hAnsi="Arial Narrow"/>
                <w:sz w:val="64"/>
                <w:szCs w:val="64"/>
              </w:rPr>
              <w:t>-20</w:t>
            </w:r>
            <w:r w:rsidR="00BA47B6">
              <w:rPr>
                <w:rFonts w:ascii="Arial Narrow" w:hAnsi="Arial Narrow"/>
                <w:sz w:val="64"/>
                <w:szCs w:val="64"/>
              </w:rPr>
              <w:t>2</w:t>
            </w:r>
            <w:r w:rsidR="009D30B5">
              <w:rPr>
                <w:rFonts w:ascii="Arial Narrow" w:hAnsi="Arial Narrow"/>
                <w:sz w:val="64"/>
                <w:szCs w:val="64"/>
              </w:rPr>
              <w:t>2</w:t>
            </w:r>
          </w:p>
          <w:p w14:paraId="189E8A45" w14:textId="77777777" w:rsidR="00FE78C4" w:rsidRPr="00071BC7" w:rsidRDefault="00FE78C4" w:rsidP="00BA47B6"/>
        </w:tc>
      </w:tr>
    </w:tbl>
    <w:p w14:paraId="3389AB7B" w14:textId="77777777" w:rsidR="00FE78C4" w:rsidRDefault="00FE78C4" w:rsidP="00FE78C4"/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5040"/>
        <w:gridCol w:w="2171"/>
        <w:gridCol w:w="2147"/>
      </w:tblGrid>
      <w:tr w:rsidR="00FE78C4" w14:paraId="2B19C0AB" w14:textId="77777777" w:rsidTr="00BA47B6">
        <w:trPr>
          <w:cantSplit/>
          <w:trHeight w:val="1066"/>
        </w:trPr>
        <w:tc>
          <w:tcPr>
            <w:tcW w:w="5040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</w:tcPr>
          <w:p w14:paraId="43845CE2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bookmarkStart w:id="0" w:name="s1content"/>
            <w:bookmarkEnd w:id="0"/>
            <w:r>
              <w:rPr>
                <w:rFonts w:ascii="Microsoft Sans Serif" w:hAnsi="Microsoft Sans Serif" w:cs="Microsoft Sans Serif"/>
                <w:b/>
              </w:rPr>
              <w:t>Agency</w:t>
            </w:r>
            <w:r w:rsidRPr="00832125">
              <w:rPr>
                <w:rFonts w:ascii="Microsoft Sans Serif" w:hAnsi="Microsoft Sans Serif" w:cs="Microsoft Sans Serif"/>
                <w:b/>
              </w:rPr>
              <w:t>:</w:t>
            </w:r>
          </w:p>
          <w:p w14:paraId="47EC23B7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</w:p>
          <w:p w14:paraId="4923069C" w14:textId="77777777" w:rsidR="00FE78C4" w:rsidRDefault="00FE78C4" w:rsidP="00BA47B6">
            <w:pPr>
              <w:ind w:left="34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City of Seattle</w:t>
            </w:r>
          </w:p>
          <w:p w14:paraId="5FC1746C" w14:textId="77777777" w:rsidR="00FE78C4" w:rsidRDefault="00FE78C4" w:rsidP="00BA47B6">
            <w:pPr>
              <w:pStyle w:val="Blockquote"/>
              <w:spacing w:before="0" w:after="0"/>
              <w:ind w:left="34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Department of Neighborhoods</w:t>
            </w:r>
          </w:p>
          <w:p w14:paraId="1B9C46B4" w14:textId="77777777" w:rsidR="00FE78C4" w:rsidRPr="00832125" w:rsidRDefault="00FE78C4" w:rsidP="00BA47B6">
            <w:pPr>
              <w:pStyle w:val="Blockquote"/>
              <w:spacing w:before="0" w:after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17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5511758" w14:textId="77777777" w:rsidR="00FE78C4" w:rsidRDefault="00FE78C4" w:rsidP="00BA47B6">
            <w:pPr>
              <w:pStyle w:val="Heading5"/>
              <w:spacing w:before="0" w:after="0"/>
              <w:rPr>
                <w:rFonts w:ascii="Microsoft Sans Serif" w:hAnsi="Microsoft Sans Serif" w:cs="Microsoft Sans Serif"/>
                <w:i w:val="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i w:val="0"/>
                <w:sz w:val="20"/>
                <w:szCs w:val="20"/>
              </w:rPr>
              <w:t>Page</w:t>
            </w:r>
          </w:p>
          <w:p w14:paraId="22F96E67" w14:textId="77777777" w:rsidR="00FE78C4" w:rsidRDefault="00FE78C4" w:rsidP="00BA47B6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560D1A51" w14:textId="77777777" w:rsidR="00FE78C4" w:rsidRDefault="00FE78C4" w:rsidP="00BA47B6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 of 2</w:t>
            </w:r>
          </w:p>
        </w:tc>
        <w:tc>
          <w:tcPr>
            <w:tcW w:w="21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FB77868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Supersedes:</w:t>
            </w:r>
          </w:p>
          <w:p w14:paraId="4C930599" w14:textId="77777777" w:rsidR="00FE78C4" w:rsidRDefault="00FE78C4" w:rsidP="00BA47B6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3F4A93ED" w14:textId="77777777" w:rsidR="00FE78C4" w:rsidRDefault="00FE78C4" w:rsidP="00BA47B6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N/A</w:t>
            </w:r>
          </w:p>
        </w:tc>
      </w:tr>
      <w:tr w:rsidR="00FE78C4" w14:paraId="250456A3" w14:textId="77777777" w:rsidTr="00BA47B6">
        <w:trPr>
          <w:cantSplit/>
          <w:trHeight w:val="1066"/>
        </w:trPr>
        <w:tc>
          <w:tcPr>
            <w:tcW w:w="5040" w:type="dxa"/>
            <w:vMerge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</w:tcPr>
          <w:p w14:paraId="1601243C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2171" w:type="dxa"/>
            <w:tcBorders>
              <w:left w:val="threeDEmboss" w:sz="6" w:space="0" w:color="auto"/>
              <w:bottom w:val="nil"/>
              <w:right w:val="threeDEmboss" w:sz="6" w:space="0" w:color="auto"/>
            </w:tcBorders>
          </w:tcPr>
          <w:p w14:paraId="44D7C98B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Publication:</w:t>
            </w:r>
          </w:p>
          <w:p w14:paraId="255BB8BB" w14:textId="77777777" w:rsidR="00FE78C4" w:rsidRDefault="00FE78C4" w:rsidP="00BA47B6">
            <w:pPr>
              <w:pStyle w:val="Header"/>
              <w:tabs>
                <w:tab w:val="clear" w:pos="4320"/>
                <w:tab w:val="clear" w:pos="8640"/>
              </w:tabs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  <w:p w14:paraId="4ACAB29A" w14:textId="55025624" w:rsidR="00FE78C4" w:rsidRDefault="00D9439F" w:rsidP="00D9439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F7725">
              <w:rPr>
                <w:rFonts w:ascii="Microsoft Sans Serif" w:hAnsi="Microsoft Sans Serif" w:cs="Microsoft Sans Serif"/>
                <w:sz w:val="24"/>
                <w:szCs w:val="24"/>
              </w:rPr>
              <w:t>TBD</w:t>
            </w:r>
          </w:p>
        </w:tc>
        <w:tc>
          <w:tcPr>
            <w:tcW w:w="2147" w:type="dxa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D32A186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Effective:</w:t>
            </w:r>
          </w:p>
          <w:p w14:paraId="7A6B7AE0" w14:textId="77777777" w:rsidR="00FE78C4" w:rsidRDefault="00FE78C4" w:rsidP="00BA47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icrosoft Sans Serif" w:hAnsi="Microsoft Sans Serif" w:cs="Microsoft Sans Serif"/>
              </w:rPr>
            </w:pPr>
          </w:p>
          <w:p w14:paraId="0855E47B" w14:textId="303D3E8A" w:rsidR="00FE78C4" w:rsidRDefault="00BA47B6" w:rsidP="00BA47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For 202</w:t>
            </w:r>
            <w:r w:rsidR="00624D21"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-</w:t>
            </w:r>
            <w:r w:rsidR="00765907">
              <w:rPr>
                <w:rFonts w:ascii="Microsoft Sans Serif" w:hAnsi="Microsoft Sans Serif" w:cs="Microsoft Sans Serif"/>
                <w:sz w:val="24"/>
                <w:szCs w:val="24"/>
              </w:rPr>
              <w:t>20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  <w:r w:rsidR="00624D21"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  <w:r w:rsidR="00FE78C4">
              <w:rPr>
                <w:rFonts w:ascii="Microsoft Sans Serif" w:hAnsi="Microsoft Sans Serif" w:cs="Microsoft Sans Serif"/>
                <w:sz w:val="24"/>
                <w:szCs w:val="24"/>
              </w:rPr>
              <w:t xml:space="preserve"> </w:t>
            </w:r>
          </w:p>
          <w:p w14:paraId="622AF4F5" w14:textId="77777777" w:rsidR="00FE78C4" w:rsidRDefault="00FE78C4" w:rsidP="00BA47B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 xml:space="preserve">plot fees </w:t>
            </w:r>
          </w:p>
        </w:tc>
      </w:tr>
      <w:tr w:rsidR="00FE78C4" w14:paraId="7386DF63" w14:textId="77777777" w:rsidTr="00BA47B6">
        <w:trPr>
          <w:cantSplit/>
          <w:trHeight w:val="1066"/>
        </w:trPr>
        <w:tc>
          <w:tcPr>
            <w:tcW w:w="5040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threeDEmboss" w:sz="6" w:space="0" w:color="auto"/>
            </w:tcBorders>
          </w:tcPr>
          <w:p w14:paraId="327C79D1" w14:textId="77777777" w:rsidR="00FE78C4" w:rsidRPr="00832125" w:rsidRDefault="00FE78C4" w:rsidP="00BA47B6">
            <w:pPr>
              <w:pStyle w:val="Blockquote"/>
              <w:tabs>
                <w:tab w:val="left" w:pos="4866"/>
              </w:tabs>
              <w:spacing w:before="0" w:after="0"/>
              <w:ind w:hanging="360"/>
              <w:rPr>
                <w:rFonts w:ascii="Microsoft Sans Serif" w:hAnsi="Microsoft Sans Serif" w:cs="Microsoft Sans Serif"/>
                <w:b/>
                <w:sz w:val="20"/>
              </w:rPr>
            </w:pPr>
            <w:r w:rsidRPr="00832125">
              <w:rPr>
                <w:rFonts w:ascii="Microsoft Sans Serif" w:hAnsi="Microsoft Sans Serif" w:cs="Microsoft Sans Serif"/>
                <w:b/>
                <w:sz w:val="20"/>
              </w:rPr>
              <w:t xml:space="preserve">Subject: </w:t>
            </w:r>
          </w:p>
          <w:p w14:paraId="6C5A0F27" w14:textId="77777777" w:rsidR="00FE78C4" w:rsidRDefault="00FE78C4" w:rsidP="00BA47B6">
            <w:pPr>
              <w:pStyle w:val="Blockquote"/>
              <w:tabs>
                <w:tab w:val="left" w:pos="4866"/>
              </w:tabs>
              <w:spacing w:before="0" w:after="0"/>
              <w:rPr>
                <w:rFonts w:ascii="Microsoft Sans Serif" w:hAnsi="Microsoft Sans Serif" w:cs="Microsoft Sans Serif"/>
              </w:rPr>
            </w:pPr>
          </w:p>
          <w:p w14:paraId="56044F44" w14:textId="2120E145" w:rsidR="00FE78C4" w:rsidRDefault="00FE78C4" w:rsidP="00BA47B6">
            <w:pPr>
              <w:pStyle w:val="Blockquote"/>
              <w:tabs>
                <w:tab w:val="left" w:pos="4866"/>
              </w:tabs>
              <w:spacing w:before="0" w:after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Setting Department of Neighborhoods P-Patch plot fees for the </w:t>
            </w:r>
            <w:r>
              <w:rPr>
                <w:rFonts w:ascii="Microsoft Sans Serif" w:hAnsi="Microsoft Sans Serif" w:cs="Microsoft Sans Serif"/>
                <w:szCs w:val="24"/>
              </w:rPr>
              <w:t>20</w:t>
            </w:r>
            <w:r w:rsidR="00BA47B6">
              <w:rPr>
                <w:rFonts w:ascii="Microsoft Sans Serif" w:hAnsi="Microsoft Sans Serif" w:cs="Microsoft Sans Serif"/>
                <w:szCs w:val="24"/>
              </w:rPr>
              <w:t>2</w:t>
            </w:r>
            <w:r w:rsidR="009D30B5">
              <w:rPr>
                <w:rFonts w:ascii="Microsoft Sans Serif" w:hAnsi="Microsoft Sans Serif" w:cs="Microsoft Sans Serif"/>
                <w:szCs w:val="24"/>
              </w:rPr>
              <w:t>3</w:t>
            </w:r>
            <w:r w:rsidR="00BA47B6">
              <w:rPr>
                <w:rFonts w:ascii="Microsoft Sans Serif" w:hAnsi="Microsoft Sans Serif" w:cs="Microsoft Sans Serif"/>
                <w:szCs w:val="24"/>
              </w:rPr>
              <w:t xml:space="preserve"> and 202</w:t>
            </w:r>
            <w:r w:rsidR="009D30B5">
              <w:rPr>
                <w:rFonts w:ascii="Microsoft Sans Serif" w:hAnsi="Microsoft Sans Serif" w:cs="Microsoft Sans Serif"/>
                <w:szCs w:val="24"/>
              </w:rPr>
              <w:t>4</w:t>
            </w:r>
            <w:r>
              <w:rPr>
                <w:rFonts w:ascii="Microsoft Sans Serif" w:hAnsi="Microsoft Sans Serif" w:cs="Microsoft Sans Serif"/>
                <w:szCs w:val="24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gardening seasons. </w:t>
            </w:r>
          </w:p>
        </w:tc>
        <w:tc>
          <w:tcPr>
            <w:tcW w:w="431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E61C688" w14:textId="77777777" w:rsidR="00FE78C4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Code and Section Reference:</w:t>
            </w:r>
          </w:p>
          <w:p w14:paraId="080A3FA7" w14:textId="77777777" w:rsidR="00FE78C4" w:rsidRDefault="00FE78C4" w:rsidP="00BA47B6">
            <w:pPr>
              <w:ind w:left="288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0C38A10B" w14:textId="77777777" w:rsidR="00FE78C4" w:rsidRDefault="00FE78C4" w:rsidP="00BA47B6">
            <w:pPr>
              <w:ind w:left="288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SMC 3.35.060</w:t>
            </w:r>
          </w:p>
        </w:tc>
      </w:tr>
      <w:tr w:rsidR="00FE78C4" w14:paraId="00C4C919" w14:textId="77777777" w:rsidTr="00BA47B6">
        <w:trPr>
          <w:cantSplit/>
          <w:trHeight w:val="1066"/>
        </w:trPr>
        <w:tc>
          <w:tcPr>
            <w:tcW w:w="5040" w:type="dxa"/>
            <w:vMerge/>
            <w:tcBorders>
              <w:top w:val="nil"/>
              <w:left w:val="threeDEmboss" w:sz="6" w:space="0" w:color="auto"/>
              <w:bottom w:val="nil"/>
              <w:right w:val="threeDEmboss" w:sz="6" w:space="0" w:color="auto"/>
            </w:tcBorders>
          </w:tcPr>
          <w:p w14:paraId="1834C23E" w14:textId="77777777" w:rsidR="00FE78C4" w:rsidRPr="00832125" w:rsidRDefault="00FE78C4" w:rsidP="00BA47B6">
            <w:pPr>
              <w:pStyle w:val="Blockquote"/>
              <w:spacing w:before="0" w:after="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431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B0C7FF1" w14:textId="77777777" w:rsidR="00FE78C4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Type of Rule:</w:t>
            </w:r>
          </w:p>
          <w:p w14:paraId="69951BF6" w14:textId="77777777" w:rsidR="00FE78C4" w:rsidRDefault="00FE78C4" w:rsidP="00BA47B6">
            <w:pPr>
              <w:ind w:left="288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185E9D49" w14:textId="77777777" w:rsidR="00FE78C4" w:rsidRDefault="00FE78C4" w:rsidP="00BA47B6">
            <w:pPr>
              <w:ind w:left="288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Code Implementation</w:t>
            </w:r>
          </w:p>
        </w:tc>
      </w:tr>
      <w:tr w:rsidR="00FE78C4" w14:paraId="03D35126" w14:textId="77777777" w:rsidTr="00BA47B6">
        <w:trPr>
          <w:cantSplit/>
          <w:trHeight w:val="1066"/>
        </w:trPr>
        <w:tc>
          <w:tcPr>
            <w:tcW w:w="5040" w:type="dxa"/>
            <w:vMerge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86373D0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</w:rPr>
            </w:pPr>
          </w:p>
        </w:tc>
        <w:tc>
          <w:tcPr>
            <w:tcW w:w="431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A5EC117" w14:textId="77777777" w:rsidR="00FE78C4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Ordinance Authority:</w:t>
            </w:r>
          </w:p>
          <w:p w14:paraId="60225C1E" w14:textId="77777777" w:rsidR="00FE78C4" w:rsidRDefault="00FE78C4" w:rsidP="00BA47B6">
            <w:pPr>
              <w:ind w:left="288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  <w:p w14:paraId="2134DB71" w14:textId="77777777" w:rsidR="00FE78C4" w:rsidRDefault="00FE78C4" w:rsidP="00BA47B6">
            <w:pPr>
              <w:ind w:left="288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SMC 3.35.060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ab/>
            </w:r>
          </w:p>
        </w:tc>
      </w:tr>
      <w:tr w:rsidR="00FE78C4" w14:paraId="50C5DCE7" w14:textId="77777777" w:rsidTr="00BA47B6">
        <w:trPr>
          <w:trHeight w:val="1066"/>
        </w:trPr>
        <w:tc>
          <w:tcPr>
            <w:tcW w:w="50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CDCE323" w14:textId="77777777" w:rsidR="00FE78C4" w:rsidRPr="00832125" w:rsidRDefault="00FE78C4" w:rsidP="00BA47B6">
            <w:pPr>
              <w:rPr>
                <w:rFonts w:ascii="Microsoft Sans Serif" w:hAnsi="Microsoft Sans Serif" w:cs="Microsoft Sans Serif"/>
                <w:b/>
              </w:rPr>
            </w:pPr>
            <w:r w:rsidRPr="00832125">
              <w:rPr>
                <w:rFonts w:ascii="Microsoft Sans Serif" w:hAnsi="Microsoft Sans Serif" w:cs="Microsoft Sans Serif"/>
                <w:b/>
              </w:rPr>
              <w:t>Index:</w:t>
            </w:r>
          </w:p>
          <w:p w14:paraId="2102A8BB" w14:textId="77777777" w:rsidR="00FE78C4" w:rsidRDefault="00FE78C4" w:rsidP="00BA47B6">
            <w:pPr>
              <w:pStyle w:val="Blockquote"/>
              <w:spacing w:before="0" w:after="0"/>
              <w:ind w:left="144" w:right="144"/>
              <w:rPr>
                <w:rFonts w:ascii="Microsoft Sans Serif" w:hAnsi="Microsoft Sans Serif" w:cs="Microsoft Sans Serif"/>
                <w:szCs w:val="24"/>
              </w:rPr>
            </w:pPr>
          </w:p>
          <w:p w14:paraId="7E0FE0CD" w14:textId="77777777" w:rsidR="00FE78C4" w:rsidRDefault="00FE78C4" w:rsidP="00BA47B6">
            <w:pPr>
              <w:pStyle w:val="Blockquote"/>
              <w:spacing w:before="0" w:after="0"/>
              <w:ind w:left="144" w:right="144"/>
              <w:rPr>
                <w:rFonts w:ascii="Microsoft Sans Serif" w:hAnsi="Microsoft Sans Serif" w:cs="Microsoft Sans Serif"/>
                <w:szCs w:val="24"/>
              </w:rPr>
            </w:pPr>
            <w:r>
              <w:rPr>
                <w:rFonts w:ascii="Microsoft Sans Serif" w:hAnsi="Microsoft Sans Serif" w:cs="Microsoft Sans Serif"/>
                <w:szCs w:val="24"/>
              </w:rPr>
              <w:t>Neighborhoods, P-Patch plot fees,</w:t>
            </w:r>
          </w:p>
          <w:p w14:paraId="423014A1" w14:textId="77777777" w:rsidR="00FE78C4" w:rsidRDefault="00FE78C4" w:rsidP="00BA47B6">
            <w:pPr>
              <w:pStyle w:val="Blockquote"/>
              <w:spacing w:before="0" w:after="0"/>
              <w:ind w:left="144" w:right="144"/>
              <w:rPr>
                <w:rFonts w:ascii="Microsoft Sans Serif" w:hAnsi="Microsoft Sans Serif" w:cs="Microsoft Sans Serif"/>
                <w:szCs w:val="24"/>
              </w:rPr>
            </w:pPr>
            <w:r>
              <w:rPr>
                <w:rFonts w:ascii="Microsoft Sans Serif" w:hAnsi="Microsoft Sans Serif" w:cs="Microsoft Sans Serif"/>
                <w:szCs w:val="24"/>
              </w:rPr>
              <w:t>SMC Section 3.35.060</w:t>
            </w:r>
          </w:p>
        </w:tc>
        <w:tc>
          <w:tcPr>
            <w:tcW w:w="431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943D94" w14:textId="77777777" w:rsidR="00FE78C4" w:rsidRPr="007F7725" w:rsidRDefault="00FE78C4" w:rsidP="00BA47B6">
            <w:pPr>
              <w:pStyle w:val="Heading5"/>
              <w:spacing w:before="0" w:after="0"/>
              <w:rPr>
                <w:rFonts w:ascii="Microsoft Sans Serif" w:hAnsi="Microsoft Sans Serif" w:cs="Microsoft Sans Serif"/>
                <w:i w:val="0"/>
                <w:sz w:val="20"/>
                <w:szCs w:val="20"/>
              </w:rPr>
            </w:pPr>
            <w:r w:rsidRPr="007F7725">
              <w:rPr>
                <w:rFonts w:ascii="Microsoft Sans Serif" w:hAnsi="Microsoft Sans Serif" w:cs="Microsoft Sans Serif"/>
                <w:i w:val="0"/>
                <w:sz w:val="20"/>
                <w:szCs w:val="20"/>
              </w:rPr>
              <w:t>Approved                                  Date</w:t>
            </w:r>
          </w:p>
          <w:p w14:paraId="570B2F7B" w14:textId="77777777" w:rsidR="00FE78C4" w:rsidRPr="007F7725" w:rsidRDefault="00FE78C4" w:rsidP="00BA47B6">
            <w:pPr>
              <w:pStyle w:val="Header"/>
              <w:tabs>
                <w:tab w:val="clear" w:pos="4320"/>
                <w:tab w:val="clear" w:pos="8640"/>
              </w:tabs>
              <w:rPr>
                <w:rFonts w:ascii="Microsoft Sans Serif" w:hAnsi="Microsoft Sans Serif" w:cs="Microsoft Sans Serif"/>
              </w:rPr>
            </w:pPr>
          </w:p>
          <w:p w14:paraId="63295DEB" w14:textId="77777777" w:rsidR="00FE78C4" w:rsidRPr="007F7725" w:rsidRDefault="00FE78C4" w:rsidP="00BA47B6">
            <w:pPr>
              <w:rPr>
                <w:rFonts w:ascii="Microsoft Sans Serif" w:hAnsi="Microsoft Sans Serif" w:cs="Microsoft Sans Serif"/>
                <w:u w:val="single"/>
              </w:rPr>
            </w:pPr>
          </w:p>
          <w:p w14:paraId="4504F137" w14:textId="77777777" w:rsidR="00FE78C4" w:rsidRPr="007F7725" w:rsidRDefault="00FE78C4" w:rsidP="00BA47B6">
            <w:pPr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</w:pPr>
            <w:r w:rsidRPr="007F7725">
              <w:rPr>
                <w:rFonts w:ascii="Microsoft Sans Serif" w:hAnsi="Microsoft Sans Serif" w:cs="Microsoft Sans Serif"/>
                <w:sz w:val="24"/>
                <w:szCs w:val="24"/>
                <w:u w:val="single"/>
              </w:rPr>
              <w:t xml:space="preserve">________________________        </w:t>
            </w:r>
          </w:p>
          <w:p w14:paraId="69A69395" w14:textId="07070D02" w:rsidR="00FE78C4" w:rsidRPr="007F7725" w:rsidRDefault="00624D21" w:rsidP="00BA47B6">
            <w:pPr>
              <w:pStyle w:val="Heading5"/>
              <w:spacing w:before="0" w:after="0"/>
              <w:rPr>
                <w:rFonts w:ascii="Microsoft Sans Serif" w:hAnsi="Microsoft Sans Serif" w:cs="Microsoft Sans Serif"/>
                <w:b w:val="0"/>
                <w:i w:val="0"/>
                <w:sz w:val="16"/>
                <w:szCs w:val="16"/>
              </w:rPr>
            </w:pPr>
            <w:r w:rsidRPr="007F7725">
              <w:rPr>
                <w:rFonts w:ascii="Microsoft Sans Serif" w:hAnsi="Microsoft Sans Serif" w:cs="Microsoft Sans Serif"/>
                <w:b w:val="0"/>
                <w:i w:val="0"/>
                <w:sz w:val="16"/>
                <w:szCs w:val="16"/>
              </w:rPr>
              <w:t>Sarah Morningstar</w:t>
            </w:r>
            <w:r w:rsidR="00FE78C4" w:rsidRPr="007F7725">
              <w:rPr>
                <w:rFonts w:ascii="Microsoft Sans Serif" w:hAnsi="Microsoft Sans Serif" w:cs="Microsoft Sans Serif"/>
                <w:b w:val="0"/>
                <w:i w:val="0"/>
                <w:sz w:val="16"/>
                <w:szCs w:val="16"/>
              </w:rPr>
              <w:t xml:space="preserve">, </w:t>
            </w:r>
            <w:r w:rsidRPr="007F7725">
              <w:rPr>
                <w:rFonts w:ascii="Microsoft Sans Serif" w:hAnsi="Microsoft Sans Serif" w:cs="Microsoft Sans Serif"/>
                <w:b w:val="0"/>
                <w:i w:val="0"/>
                <w:sz w:val="16"/>
                <w:szCs w:val="16"/>
              </w:rPr>
              <w:t xml:space="preserve">Acting </w:t>
            </w:r>
            <w:r w:rsidR="00FE78C4" w:rsidRPr="007F7725">
              <w:rPr>
                <w:rFonts w:ascii="Microsoft Sans Serif" w:hAnsi="Microsoft Sans Serif" w:cs="Microsoft Sans Serif"/>
                <w:b w:val="0"/>
                <w:i w:val="0"/>
                <w:sz w:val="16"/>
                <w:szCs w:val="16"/>
              </w:rPr>
              <w:t xml:space="preserve">Director </w:t>
            </w:r>
          </w:p>
          <w:p w14:paraId="3678BBB5" w14:textId="77777777" w:rsidR="00FE78C4" w:rsidRPr="007F7725" w:rsidRDefault="00FE78C4" w:rsidP="00BA47B6">
            <w:pPr>
              <w:rPr>
                <w:rFonts w:ascii="Microsoft Sans Serif" w:hAnsi="Microsoft Sans Serif" w:cs="Microsoft Sans Serif"/>
                <w:b/>
                <w:i/>
                <w:sz w:val="16"/>
                <w:szCs w:val="16"/>
              </w:rPr>
            </w:pPr>
            <w:r w:rsidRPr="007F7725">
              <w:rPr>
                <w:rFonts w:ascii="Microsoft Sans Serif" w:hAnsi="Microsoft Sans Serif" w:cs="Microsoft Sans Serif"/>
                <w:sz w:val="16"/>
                <w:szCs w:val="16"/>
              </w:rPr>
              <w:t>Department of Neighborhoods</w:t>
            </w:r>
          </w:p>
        </w:tc>
      </w:tr>
    </w:tbl>
    <w:p w14:paraId="6A37DED8" w14:textId="77777777" w:rsidR="004E62F5" w:rsidRDefault="004E62F5" w:rsidP="004E62F5">
      <w:pPr>
        <w:rPr>
          <w:rFonts w:ascii="Microsoft Sans Serif" w:hAnsi="Microsoft Sans Serif" w:cs="Microsoft Sans Serif"/>
          <w:b/>
          <w:sz w:val="24"/>
          <w:szCs w:val="24"/>
        </w:rPr>
      </w:pPr>
    </w:p>
    <w:p w14:paraId="137A2FF8" w14:textId="77777777" w:rsidR="00F873C1" w:rsidRPr="00F873C1" w:rsidRDefault="00F873C1" w:rsidP="00F873C1">
      <w:pPr>
        <w:rPr>
          <w:rFonts w:ascii="Arial" w:hAnsi="Arial" w:cs="Arial"/>
          <w:b/>
          <w:sz w:val="24"/>
          <w:szCs w:val="24"/>
        </w:rPr>
      </w:pPr>
      <w:r w:rsidRPr="00F873C1">
        <w:rPr>
          <w:rFonts w:ascii="Arial" w:hAnsi="Arial" w:cs="Arial"/>
          <w:b/>
          <w:sz w:val="24"/>
          <w:szCs w:val="24"/>
        </w:rPr>
        <w:t>BACKGROUND</w:t>
      </w:r>
    </w:p>
    <w:p w14:paraId="518EFA9C" w14:textId="521F600C" w:rsidR="00F873C1" w:rsidRPr="00F873C1" w:rsidRDefault="00F873C1" w:rsidP="00F873C1">
      <w:pPr>
        <w:rPr>
          <w:sz w:val="24"/>
          <w:szCs w:val="24"/>
        </w:rPr>
      </w:pPr>
      <w:r w:rsidRPr="00F873C1">
        <w:rPr>
          <w:sz w:val="24"/>
          <w:szCs w:val="24"/>
        </w:rPr>
        <w:t>Seattle Municipal Code (SMC) Section 3.35.060 authorizes the Director of the Department of Neighborhoods to adjust P-Patch plot fees for inflation approximately in proportion to the change in the Consumer Price Index (CPI), All Urban Consumers, every two years and to increase fees by up to 5% to accommodate increased operational costs.  The next scheduled adjustment will apply to 202</w:t>
      </w:r>
      <w:r w:rsidR="00624D21">
        <w:rPr>
          <w:sz w:val="24"/>
          <w:szCs w:val="24"/>
        </w:rPr>
        <w:t>3</w:t>
      </w:r>
      <w:r w:rsidRPr="00F873C1">
        <w:rPr>
          <w:sz w:val="24"/>
          <w:szCs w:val="24"/>
        </w:rPr>
        <w:t xml:space="preserve"> and 202</w:t>
      </w:r>
      <w:r w:rsidR="00624D21">
        <w:rPr>
          <w:sz w:val="24"/>
          <w:szCs w:val="24"/>
        </w:rPr>
        <w:t>4</w:t>
      </w:r>
      <w:r w:rsidRPr="00F873C1">
        <w:rPr>
          <w:sz w:val="24"/>
          <w:szCs w:val="24"/>
        </w:rPr>
        <w:t>.  Plot fees include an application fee, which applies to any size plot, and a base permit fee for each standard unit of a plot.  A standard unit generally equals approximately one hundred (100) square feet.  For 20</w:t>
      </w:r>
      <w:r w:rsidR="002147B0">
        <w:rPr>
          <w:sz w:val="24"/>
          <w:szCs w:val="24"/>
        </w:rPr>
        <w:t>21</w:t>
      </w:r>
      <w:r w:rsidRPr="00F873C1">
        <w:rPr>
          <w:sz w:val="24"/>
          <w:szCs w:val="24"/>
        </w:rPr>
        <w:t xml:space="preserve"> and 202</w:t>
      </w:r>
      <w:r w:rsidR="002147B0">
        <w:rPr>
          <w:sz w:val="24"/>
          <w:szCs w:val="24"/>
        </w:rPr>
        <w:t>2</w:t>
      </w:r>
      <w:r w:rsidRPr="00F873C1">
        <w:rPr>
          <w:sz w:val="24"/>
          <w:szCs w:val="24"/>
        </w:rPr>
        <w:t xml:space="preserve">, the application fee was </w:t>
      </w:r>
      <w:proofErr w:type="gramStart"/>
      <w:r w:rsidRPr="00F873C1">
        <w:rPr>
          <w:sz w:val="24"/>
          <w:szCs w:val="24"/>
        </w:rPr>
        <w:t>$3</w:t>
      </w:r>
      <w:r w:rsidR="002147B0">
        <w:rPr>
          <w:sz w:val="24"/>
          <w:szCs w:val="24"/>
        </w:rPr>
        <w:t>4</w:t>
      </w:r>
      <w:r w:rsidRPr="00F873C1">
        <w:rPr>
          <w:sz w:val="24"/>
          <w:szCs w:val="24"/>
        </w:rPr>
        <w:t>.00</w:t>
      </w:r>
      <w:proofErr w:type="gramEnd"/>
      <w:r w:rsidRPr="00F873C1">
        <w:rPr>
          <w:sz w:val="24"/>
          <w:szCs w:val="24"/>
        </w:rPr>
        <w:t xml:space="preserve"> and the base permit fee was $1</w:t>
      </w:r>
      <w:r w:rsidR="002147B0">
        <w:rPr>
          <w:sz w:val="24"/>
          <w:szCs w:val="24"/>
        </w:rPr>
        <w:t>6</w:t>
      </w:r>
      <w:r w:rsidRPr="00F873C1">
        <w:rPr>
          <w:sz w:val="24"/>
          <w:szCs w:val="24"/>
        </w:rPr>
        <w:t xml:space="preserve">.00.  </w:t>
      </w:r>
    </w:p>
    <w:p w14:paraId="75311161" w14:textId="77777777" w:rsidR="00F873C1" w:rsidRPr="00F873C1" w:rsidRDefault="00F873C1" w:rsidP="00F873C1">
      <w:pPr>
        <w:rPr>
          <w:sz w:val="24"/>
          <w:szCs w:val="24"/>
        </w:rPr>
      </w:pPr>
    </w:p>
    <w:p w14:paraId="330C28C4" w14:textId="6F8EFE56" w:rsidR="00765907" w:rsidRDefault="00765907" w:rsidP="00F873C1">
      <w:pPr>
        <w:rPr>
          <w:sz w:val="24"/>
          <w:szCs w:val="24"/>
        </w:rPr>
      </w:pPr>
      <w:r>
        <w:rPr>
          <w:sz w:val="24"/>
          <w:szCs w:val="24"/>
        </w:rPr>
        <w:t>To calculate the new 202</w:t>
      </w:r>
      <w:r w:rsidR="002147B0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2147B0">
        <w:rPr>
          <w:sz w:val="24"/>
          <w:szCs w:val="24"/>
        </w:rPr>
        <w:t>4</w:t>
      </w:r>
      <w:r>
        <w:rPr>
          <w:sz w:val="24"/>
          <w:szCs w:val="24"/>
        </w:rPr>
        <w:t xml:space="preserve"> plot fees, 20</w:t>
      </w:r>
      <w:r w:rsidR="00C427CF">
        <w:rPr>
          <w:sz w:val="24"/>
          <w:szCs w:val="24"/>
        </w:rPr>
        <w:t>21</w:t>
      </w:r>
      <w:r>
        <w:rPr>
          <w:sz w:val="24"/>
          <w:szCs w:val="24"/>
        </w:rPr>
        <w:t>-202</w:t>
      </w:r>
      <w:r w:rsidR="00C427CF">
        <w:rPr>
          <w:sz w:val="24"/>
          <w:szCs w:val="24"/>
        </w:rPr>
        <w:t>2</w:t>
      </w:r>
      <w:r>
        <w:rPr>
          <w:sz w:val="24"/>
          <w:szCs w:val="24"/>
        </w:rPr>
        <w:t xml:space="preserve"> fees were </w:t>
      </w:r>
      <w:r w:rsidRPr="00132E32">
        <w:rPr>
          <w:sz w:val="24"/>
          <w:szCs w:val="24"/>
        </w:rPr>
        <w:t>increased by</w:t>
      </w:r>
      <w:r w:rsidR="0033217B" w:rsidRPr="00132E32">
        <w:rPr>
          <w:sz w:val="24"/>
          <w:szCs w:val="24"/>
        </w:rPr>
        <w:t xml:space="preserve"> </w:t>
      </w:r>
      <w:r w:rsidR="00132E32" w:rsidRPr="00132E32">
        <w:rPr>
          <w:sz w:val="24"/>
          <w:szCs w:val="24"/>
        </w:rPr>
        <w:t>6.64</w:t>
      </w:r>
      <w:r w:rsidR="0033217B" w:rsidRPr="00132E32">
        <w:rPr>
          <w:sz w:val="24"/>
          <w:szCs w:val="24"/>
        </w:rPr>
        <w:t>%, which is</w:t>
      </w:r>
      <w:r w:rsidRPr="00132E32">
        <w:rPr>
          <w:sz w:val="24"/>
          <w:szCs w:val="24"/>
        </w:rPr>
        <w:t xml:space="preserve"> the </w:t>
      </w:r>
      <w:r w:rsidRPr="008070C4">
        <w:rPr>
          <w:sz w:val="24"/>
          <w:szCs w:val="24"/>
        </w:rPr>
        <w:t>combined CPI adjustment for the Seattle area for 20</w:t>
      </w:r>
      <w:r w:rsidR="00132E32" w:rsidRPr="008070C4">
        <w:rPr>
          <w:sz w:val="24"/>
          <w:szCs w:val="24"/>
        </w:rPr>
        <w:t>20</w:t>
      </w:r>
      <w:r w:rsidRPr="008070C4">
        <w:rPr>
          <w:sz w:val="24"/>
          <w:szCs w:val="24"/>
        </w:rPr>
        <w:t xml:space="preserve"> and </w:t>
      </w:r>
      <w:r w:rsidR="00132E32" w:rsidRPr="008070C4">
        <w:rPr>
          <w:sz w:val="24"/>
          <w:szCs w:val="24"/>
        </w:rPr>
        <w:t>2</w:t>
      </w:r>
      <w:r w:rsidRPr="008070C4">
        <w:rPr>
          <w:sz w:val="24"/>
          <w:szCs w:val="24"/>
        </w:rPr>
        <w:t>0</w:t>
      </w:r>
      <w:r w:rsidR="00132E32" w:rsidRPr="008070C4">
        <w:rPr>
          <w:sz w:val="24"/>
          <w:szCs w:val="24"/>
        </w:rPr>
        <w:t>21</w:t>
      </w:r>
      <w:r w:rsidRPr="008070C4">
        <w:rPr>
          <w:sz w:val="24"/>
          <w:szCs w:val="24"/>
        </w:rPr>
        <w:t xml:space="preserve">, the last two years for which actual CPI figures are available.  </w:t>
      </w:r>
      <w:r w:rsidR="00565491" w:rsidRPr="008070C4">
        <w:rPr>
          <w:sz w:val="24"/>
          <w:szCs w:val="24"/>
        </w:rPr>
        <w:t>With</w:t>
      </w:r>
      <w:r w:rsidR="00EF7AFF" w:rsidRPr="008070C4">
        <w:rPr>
          <w:sz w:val="24"/>
          <w:szCs w:val="24"/>
        </w:rPr>
        <w:t xml:space="preserve"> </w:t>
      </w:r>
      <w:r w:rsidR="001B3D8A" w:rsidRPr="008070C4">
        <w:rPr>
          <w:sz w:val="24"/>
          <w:szCs w:val="24"/>
        </w:rPr>
        <w:t>inflation</w:t>
      </w:r>
      <w:r w:rsidR="000C1B66" w:rsidRPr="008070C4">
        <w:rPr>
          <w:sz w:val="24"/>
          <w:szCs w:val="24"/>
        </w:rPr>
        <w:t xml:space="preserve"> rates</w:t>
      </w:r>
      <w:r w:rsidR="001B3D8A" w:rsidRPr="008070C4">
        <w:rPr>
          <w:sz w:val="24"/>
          <w:szCs w:val="24"/>
        </w:rPr>
        <w:t xml:space="preserve"> reaching 40-year high</w:t>
      </w:r>
      <w:r w:rsidR="000C1B66" w:rsidRPr="008070C4">
        <w:rPr>
          <w:sz w:val="24"/>
          <w:szCs w:val="24"/>
        </w:rPr>
        <w:t>s</w:t>
      </w:r>
      <w:r w:rsidR="00D44A9B" w:rsidRPr="008070C4">
        <w:rPr>
          <w:sz w:val="24"/>
          <w:szCs w:val="24"/>
        </w:rPr>
        <w:t xml:space="preserve"> in 2022</w:t>
      </w:r>
      <w:r w:rsidR="002459ED" w:rsidRPr="008070C4">
        <w:rPr>
          <w:sz w:val="24"/>
          <w:szCs w:val="24"/>
        </w:rPr>
        <w:t xml:space="preserve"> and</w:t>
      </w:r>
      <w:r w:rsidR="0034447D" w:rsidRPr="008070C4">
        <w:rPr>
          <w:sz w:val="24"/>
          <w:szCs w:val="24"/>
        </w:rPr>
        <w:t xml:space="preserve"> impact</w:t>
      </w:r>
      <w:r w:rsidR="002459ED" w:rsidRPr="008070C4">
        <w:rPr>
          <w:sz w:val="24"/>
          <w:szCs w:val="24"/>
        </w:rPr>
        <w:t>ing</w:t>
      </w:r>
      <w:r w:rsidR="0034447D" w:rsidRPr="008070C4">
        <w:rPr>
          <w:sz w:val="24"/>
          <w:szCs w:val="24"/>
        </w:rPr>
        <w:t xml:space="preserve"> </w:t>
      </w:r>
      <w:r w:rsidR="00C17D43" w:rsidRPr="008070C4">
        <w:rPr>
          <w:sz w:val="24"/>
          <w:szCs w:val="24"/>
        </w:rPr>
        <w:t xml:space="preserve">the economic health of </w:t>
      </w:r>
      <w:r w:rsidR="00073407" w:rsidRPr="008070C4">
        <w:rPr>
          <w:sz w:val="24"/>
          <w:szCs w:val="24"/>
        </w:rPr>
        <w:t xml:space="preserve">thousands of </w:t>
      </w:r>
      <w:r w:rsidR="004E153A" w:rsidRPr="008070C4">
        <w:rPr>
          <w:sz w:val="24"/>
          <w:szCs w:val="24"/>
        </w:rPr>
        <w:t>Seattle households</w:t>
      </w:r>
      <w:r w:rsidRPr="008070C4">
        <w:rPr>
          <w:sz w:val="24"/>
          <w:szCs w:val="24"/>
        </w:rPr>
        <w:t>, the Director of the Department of Neighborhoods will not ap</w:t>
      </w:r>
      <w:r w:rsidR="0033217B" w:rsidRPr="008070C4">
        <w:rPr>
          <w:sz w:val="24"/>
          <w:szCs w:val="24"/>
        </w:rPr>
        <w:t>ply an operational cost adjustment</w:t>
      </w:r>
      <w:r w:rsidRPr="008070C4">
        <w:rPr>
          <w:sz w:val="24"/>
          <w:szCs w:val="24"/>
        </w:rPr>
        <w:t xml:space="preserve"> for the 202</w:t>
      </w:r>
      <w:r w:rsidR="005B36E9" w:rsidRPr="008070C4">
        <w:rPr>
          <w:sz w:val="24"/>
          <w:szCs w:val="24"/>
        </w:rPr>
        <w:t>3</w:t>
      </w:r>
      <w:r w:rsidRPr="008070C4">
        <w:rPr>
          <w:sz w:val="24"/>
          <w:szCs w:val="24"/>
        </w:rPr>
        <w:t>-202</w:t>
      </w:r>
      <w:r w:rsidR="005B36E9" w:rsidRPr="008070C4">
        <w:rPr>
          <w:sz w:val="24"/>
          <w:szCs w:val="24"/>
        </w:rPr>
        <w:t>4</w:t>
      </w:r>
      <w:r w:rsidRPr="008070C4">
        <w:rPr>
          <w:sz w:val="24"/>
          <w:szCs w:val="24"/>
        </w:rPr>
        <w:t xml:space="preserve"> biennium.</w:t>
      </w:r>
    </w:p>
    <w:p w14:paraId="7484BC52" w14:textId="77777777" w:rsidR="00765907" w:rsidRDefault="00765907" w:rsidP="00F873C1">
      <w:pPr>
        <w:rPr>
          <w:sz w:val="24"/>
          <w:szCs w:val="24"/>
        </w:rPr>
      </w:pPr>
    </w:p>
    <w:p w14:paraId="7674A6DA" w14:textId="5A738672" w:rsidR="00F873C1" w:rsidRPr="00F873C1" w:rsidRDefault="00F873C1" w:rsidP="00F873C1">
      <w:pPr>
        <w:rPr>
          <w:sz w:val="24"/>
          <w:szCs w:val="24"/>
        </w:rPr>
      </w:pPr>
      <w:r w:rsidRPr="00F873C1">
        <w:rPr>
          <w:sz w:val="24"/>
          <w:szCs w:val="24"/>
        </w:rPr>
        <w:t>As a result, the 202</w:t>
      </w:r>
      <w:r w:rsidR="00C427CF">
        <w:rPr>
          <w:sz w:val="24"/>
          <w:szCs w:val="24"/>
        </w:rPr>
        <w:t>3</w:t>
      </w:r>
      <w:r w:rsidRPr="00F873C1">
        <w:rPr>
          <w:sz w:val="24"/>
          <w:szCs w:val="24"/>
        </w:rPr>
        <w:t>-</w:t>
      </w:r>
      <w:r w:rsidR="00765907">
        <w:rPr>
          <w:sz w:val="24"/>
          <w:szCs w:val="24"/>
        </w:rPr>
        <w:t>202</w:t>
      </w:r>
      <w:r w:rsidR="00C427CF">
        <w:rPr>
          <w:sz w:val="24"/>
          <w:szCs w:val="24"/>
        </w:rPr>
        <w:t>4</w:t>
      </w:r>
      <w:r w:rsidR="00765907">
        <w:rPr>
          <w:sz w:val="24"/>
          <w:szCs w:val="24"/>
        </w:rPr>
        <w:t xml:space="preserve"> </w:t>
      </w:r>
      <w:r w:rsidR="00765907" w:rsidRPr="009C2890">
        <w:rPr>
          <w:sz w:val="24"/>
          <w:szCs w:val="24"/>
        </w:rPr>
        <w:t xml:space="preserve">application fee will be </w:t>
      </w:r>
      <w:proofErr w:type="gramStart"/>
      <w:r w:rsidR="00765907" w:rsidRPr="009C2890">
        <w:rPr>
          <w:sz w:val="24"/>
          <w:szCs w:val="24"/>
        </w:rPr>
        <w:t>$3</w:t>
      </w:r>
      <w:r w:rsidR="00717258" w:rsidRPr="009C2890">
        <w:rPr>
          <w:sz w:val="24"/>
          <w:szCs w:val="24"/>
        </w:rPr>
        <w:t>6</w:t>
      </w:r>
      <w:r w:rsidRPr="009C2890">
        <w:rPr>
          <w:sz w:val="24"/>
          <w:szCs w:val="24"/>
        </w:rPr>
        <w:t>.00</w:t>
      </w:r>
      <w:proofErr w:type="gramEnd"/>
      <w:r w:rsidRPr="009C2890">
        <w:rPr>
          <w:sz w:val="24"/>
          <w:szCs w:val="24"/>
        </w:rPr>
        <w:t xml:space="preserve"> and</w:t>
      </w:r>
      <w:r w:rsidR="00765907" w:rsidRPr="009C2890">
        <w:rPr>
          <w:sz w:val="24"/>
          <w:szCs w:val="24"/>
        </w:rPr>
        <w:t xml:space="preserve"> the base permit fee will be $1</w:t>
      </w:r>
      <w:r w:rsidR="00717258" w:rsidRPr="009C2890">
        <w:rPr>
          <w:sz w:val="24"/>
          <w:szCs w:val="24"/>
        </w:rPr>
        <w:t>7</w:t>
      </w:r>
      <w:r w:rsidRPr="009C2890">
        <w:rPr>
          <w:sz w:val="24"/>
          <w:szCs w:val="24"/>
        </w:rPr>
        <w:t>.00.</w:t>
      </w:r>
      <w:r w:rsidRPr="00F873C1">
        <w:rPr>
          <w:sz w:val="24"/>
          <w:szCs w:val="24"/>
        </w:rPr>
        <w:t xml:space="preserve">  </w:t>
      </w:r>
      <w:r w:rsidR="00765907">
        <w:rPr>
          <w:sz w:val="24"/>
          <w:szCs w:val="24"/>
        </w:rPr>
        <w:t xml:space="preserve">The expected </w:t>
      </w:r>
      <w:r w:rsidR="0033217B">
        <w:rPr>
          <w:sz w:val="24"/>
          <w:szCs w:val="24"/>
        </w:rPr>
        <w:t>additional revenue effect of this</w:t>
      </w:r>
      <w:r w:rsidR="00765907">
        <w:rPr>
          <w:sz w:val="24"/>
          <w:szCs w:val="24"/>
        </w:rPr>
        <w:t xml:space="preserve"> plot fee increase is </w:t>
      </w:r>
      <w:r w:rsidR="00765907" w:rsidRPr="00B13EA3">
        <w:rPr>
          <w:sz w:val="24"/>
          <w:szCs w:val="24"/>
        </w:rPr>
        <w:t>approximately</w:t>
      </w:r>
      <w:r w:rsidR="00B579B0">
        <w:rPr>
          <w:sz w:val="24"/>
          <w:szCs w:val="24"/>
        </w:rPr>
        <w:t xml:space="preserve"> $8,500</w:t>
      </w:r>
      <w:r w:rsidR="00765907" w:rsidRPr="00B13EA3">
        <w:rPr>
          <w:sz w:val="24"/>
          <w:szCs w:val="24"/>
        </w:rPr>
        <w:t xml:space="preserve"> per year</w:t>
      </w:r>
      <w:r w:rsidR="00765907">
        <w:rPr>
          <w:sz w:val="24"/>
          <w:szCs w:val="24"/>
        </w:rPr>
        <w:t>.</w:t>
      </w:r>
    </w:p>
    <w:p w14:paraId="7431F9B2" w14:textId="77777777" w:rsidR="00F873C1" w:rsidRPr="00F873C1" w:rsidRDefault="00F873C1" w:rsidP="00F873C1">
      <w:pPr>
        <w:rPr>
          <w:sz w:val="24"/>
          <w:szCs w:val="24"/>
        </w:rPr>
      </w:pPr>
    </w:p>
    <w:p w14:paraId="3C450F49" w14:textId="77777777" w:rsidR="00F873C1" w:rsidRPr="00F873C1" w:rsidRDefault="00F873C1" w:rsidP="00F873C1">
      <w:pPr>
        <w:keepNext/>
        <w:keepLines/>
        <w:rPr>
          <w:rFonts w:ascii="Arial" w:hAnsi="Arial" w:cs="Arial"/>
          <w:b/>
          <w:sz w:val="24"/>
          <w:szCs w:val="24"/>
        </w:rPr>
      </w:pPr>
      <w:r w:rsidRPr="00F873C1">
        <w:rPr>
          <w:rFonts w:ascii="Arial" w:hAnsi="Arial" w:cs="Arial"/>
          <w:b/>
          <w:sz w:val="24"/>
          <w:szCs w:val="24"/>
        </w:rPr>
        <w:t>METHODOLOGY</w:t>
      </w:r>
    </w:p>
    <w:p w14:paraId="40683378" w14:textId="5F37DB99" w:rsidR="00F873C1" w:rsidRPr="00F873C1" w:rsidRDefault="00F873C1" w:rsidP="00F873C1">
      <w:pPr>
        <w:keepNext/>
        <w:keepLines/>
        <w:rPr>
          <w:sz w:val="24"/>
          <w:szCs w:val="24"/>
        </w:rPr>
      </w:pPr>
      <w:r w:rsidRPr="00F873C1">
        <w:rPr>
          <w:sz w:val="24"/>
          <w:szCs w:val="24"/>
        </w:rPr>
        <w:t>Plot fees for 20</w:t>
      </w:r>
      <w:r w:rsidR="00F8012B">
        <w:rPr>
          <w:sz w:val="24"/>
          <w:szCs w:val="24"/>
        </w:rPr>
        <w:t>23</w:t>
      </w:r>
      <w:r w:rsidRPr="00F873C1">
        <w:rPr>
          <w:sz w:val="24"/>
          <w:szCs w:val="24"/>
        </w:rPr>
        <w:t>-202</w:t>
      </w:r>
      <w:r w:rsidR="00F8012B">
        <w:rPr>
          <w:sz w:val="24"/>
          <w:szCs w:val="24"/>
        </w:rPr>
        <w:t>4</w:t>
      </w:r>
      <w:r w:rsidRPr="00F873C1">
        <w:rPr>
          <w:sz w:val="24"/>
          <w:szCs w:val="24"/>
        </w:rPr>
        <w:t xml:space="preserve"> </w:t>
      </w:r>
      <w:r w:rsidR="00765907">
        <w:rPr>
          <w:sz w:val="24"/>
          <w:szCs w:val="24"/>
        </w:rPr>
        <w:t>were calculated by increasing 20</w:t>
      </w:r>
      <w:r w:rsidR="00F8012B">
        <w:rPr>
          <w:sz w:val="24"/>
          <w:szCs w:val="24"/>
        </w:rPr>
        <w:t>21</w:t>
      </w:r>
      <w:r w:rsidR="00765907">
        <w:rPr>
          <w:sz w:val="24"/>
          <w:szCs w:val="24"/>
        </w:rPr>
        <w:t>-202</w:t>
      </w:r>
      <w:r w:rsidR="00F8012B">
        <w:rPr>
          <w:sz w:val="24"/>
          <w:szCs w:val="24"/>
        </w:rPr>
        <w:t>2</w:t>
      </w:r>
      <w:r w:rsidR="00765907">
        <w:rPr>
          <w:sz w:val="24"/>
          <w:szCs w:val="24"/>
        </w:rPr>
        <w:t xml:space="preserve"> application and permit fees by the combined CPI adjustment for the Seattle area for the most recent two-year period for which actual data is available.  </w:t>
      </w:r>
      <w:r w:rsidR="00765907" w:rsidRPr="00FD48C7">
        <w:rPr>
          <w:sz w:val="24"/>
          <w:szCs w:val="24"/>
        </w:rPr>
        <w:t>The combined CPI change for the Seattle area for 20</w:t>
      </w:r>
      <w:r w:rsidR="00FD48C7" w:rsidRPr="00FD48C7">
        <w:rPr>
          <w:sz w:val="24"/>
          <w:szCs w:val="24"/>
        </w:rPr>
        <w:t>20</w:t>
      </w:r>
      <w:r w:rsidR="00765907" w:rsidRPr="00FD48C7">
        <w:rPr>
          <w:sz w:val="24"/>
          <w:szCs w:val="24"/>
        </w:rPr>
        <w:t>-20</w:t>
      </w:r>
      <w:r w:rsidR="00FD48C7" w:rsidRPr="00FD48C7">
        <w:rPr>
          <w:sz w:val="24"/>
          <w:szCs w:val="24"/>
        </w:rPr>
        <w:t>21</w:t>
      </w:r>
      <w:r w:rsidR="00765907" w:rsidRPr="00FD48C7">
        <w:rPr>
          <w:sz w:val="24"/>
          <w:szCs w:val="24"/>
        </w:rPr>
        <w:t xml:space="preserve"> was </w:t>
      </w:r>
      <w:r w:rsidR="00FD48C7" w:rsidRPr="00FD48C7">
        <w:rPr>
          <w:sz w:val="24"/>
          <w:szCs w:val="24"/>
        </w:rPr>
        <w:t>6.</w:t>
      </w:r>
      <w:r w:rsidR="00FD48C7" w:rsidRPr="009C2890">
        <w:rPr>
          <w:sz w:val="24"/>
          <w:szCs w:val="24"/>
        </w:rPr>
        <w:t>64</w:t>
      </w:r>
      <w:r w:rsidR="00765907" w:rsidRPr="009C2890">
        <w:rPr>
          <w:sz w:val="24"/>
          <w:szCs w:val="24"/>
        </w:rPr>
        <w:t>%.  No operational cost adjustment was applied. To calculate 202</w:t>
      </w:r>
      <w:r w:rsidR="00F8012B" w:rsidRPr="009C2890">
        <w:rPr>
          <w:sz w:val="24"/>
          <w:szCs w:val="24"/>
        </w:rPr>
        <w:t>3</w:t>
      </w:r>
      <w:r w:rsidR="00765907" w:rsidRPr="009C2890">
        <w:rPr>
          <w:sz w:val="24"/>
          <w:szCs w:val="24"/>
        </w:rPr>
        <w:t>-202</w:t>
      </w:r>
      <w:r w:rsidR="00F8012B" w:rsidRPr="009C2890">
        <w:rPr>
          <w:sz w:val="24"/>
          <w:szCs w:val="24"/>
        </w:rPr>
        <w:t>4</w:t>
      </w:r>
      <w:r w:rsidR="00765907" w:rsidRPr="009C2890">
        <w:rPr>
          <w:sz w:val="24"/>
          <w:szCs w:val="24"/>
        </w:rPr>
        <w:t xml:space="preserve"> plot fees, </w:t>
      </w:r>
      <w:r w:rsidR="001A3031">
        <w:rPr>
          <w:sz w:val="24"/>
          <w:szCs w:val="24"/>
        </w:rPr>
        <w:t xml:space="preserve">the Department of Neighborhoods used </w:t>
      </w:r>
      <w:r w:rsidR="00765907" w:rsidRPr="009C2890">
        <w:rPr>
          <w:sz w:val="24"/>
          <w:szCs w:val="24"/>
        </w:rPr>
        <w:t>the following method:</w:t>
      </w:r>
    </w:p>
    <w:p w14:paraId="788B5529" w14:textId="77777777" w:rsidR="00F873C1" w:rsidRPr="00061AB7" w:rsidRDefault="00F873C1" w:rsidP="00F873C1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310"/>
        <w:gridCol w:w="1980"/>
      </w:tblGrid>
      <w:tr w:rsidR="00061AB7" w:rsidRPr="00061AB7" w14:paraId="0C8E8A91" w14:textId="77777777" w:rsidTr="00765907">
        <w:tc>
          <w:tcPr>
            <w:tcW w:w="5310" w:type="dxa"/>
          </w:tcPr>
          <w:p w14:paraId="32A67643" w14:textId="53669612" w:rsidR="00061AB7" w:rsidRPr="00061AB7" w:rsidRDefault="00061AB7" w:rsidP="00765907">
            <w:pPr>
              <w:rPr>
                <w:b/>
                <w:sz w:val="24"/>
                <w:szCs w:val="24"/>
              </w:rPr>
            </w:pPr>
            <w:r w:rsidRPr="00061AB7">
              <w:rPr>
                <w:b/>
                <w:sz w:val="24"/>
                <w:szCs w:val="24"/>
              </w:rPr>
              <w:t>Application Fee</w:t>
            </w:r>
          </w:p>
        </w:tc>
        <w:tc>
          <w:tcPr>
            <w:tcW w:w="1980" w:type="dxa"/>
          </w:tcPr>
          <w:p w14:paraId="3713C58D" w14:textId="77777777" w:rsidR="00061AB7" w:rsidRPr="00061AB7" w:rsidRDefault="00061AB7" w:rsidP="00765907">
            <w:pPr>
              <w:rPr>
                <w:b/>
                <w:sz w:val="24"/>
                <w:szCs w:val="24"/>
              </w:rPr>
            </w:pPr>
          </w:p>
        </w:tc>
      </w:tr>
      <w:tr w:rsidR="00F873C1" w:rsidRPr="00F873C1" w14:paraId="34B23DF9" w14:textId="77777777" w:rsidTr="00765907">
        <w:tc>
          <w:tcPr>
            <w:tcW w:w="5310" w:type="dxa"/>
          </w:tcPr>
          <w:p w14:paraId="144F0C8B" w14:textId="69056A30" w:rsidR="00F873C1" w:rsidRPr="00F873C1" w:rsidRDefault="00F873C1" w:rsidP="00765907">
            <w:pPr>
              <w:rPr>
                <w:sz w:val="24"/>
                <w:szCs w:val="24"/>
              </w:rPr>
            </w:pPr>
            <w:r w:rsidRPr="00F873C1">
              <w:rPr>
                <w:sz w:val="24"/>
                <w:szCs w:val="24"/>
              </w:rPr>
              <w:t>20</w:t>
            </w:r>
            <w:r w:rsidR="008C236A">
              <w:rPr>
                <w:sz w:val="24"/>
                <w:szCs w:val="24"/>
              </w:rPr>
              <w:t>21</w:t>
            </w:r>
            <w:r w:rsidRPr="00F873C1">
              <w:rPr>
                <w:sz w:val="24"/>
                <w:szCs w:val="24"/>
              </w:rPr>
              <w:t>-202</w:t>
            </w:r>
            <w:r w:rsidR="008C236A">
              <w:rPr>
                <w:sz w:val="24"/>
                <w:szCs w:val="24"/>
              </w:rPr>
              <w:t>2</w:t>
            </w:r>
            <w:r w:rsidRPr="00F873C1">
              <w:rPr>
                <w:sz w:val="24"/>
                <w:szCs w:val="24"/>
              </w:rPr>
              <w:t xml:space="preserve"> Application Fee</w:t>
            </w:r>
          </w:p>
        </w:tc>
        <w:tc>
          <w:tcPr>
            <w:tcW w:w="1980" w:type="dxa"/>
          </w:tcPr>
          <w:p w14:paraId="37A0F3B5" w14:textId="78A88A40" w:rsidR="00F873C1" w:rsidRPr="00F873C1" w:rsidRDefault="00F873C1" w:rsidP="00765907">
            <w:pPr>
              <w:rPr>
                <w:sz w:val="24"/>
                <w:szCs w:val="24"/>
              </w:rPr>
            </w:pPr>
            <w:r w:rsidRPr="00F873C1">
              <w:rPr>
                <w:sz w:val="24"/>
                <w:szCs w:val="24"/>
              </w:rPr>
              <w:t>$3</w:t>
            </w:r>
            <w:r w:rsidR="008C236A">
              <w:rPr>
                <w:sz w:val="24"/>
                <w:szCs w:val="24"/>
              </w:rPr>
              <w:t>4</w:t>
            </w:r>
            <w:r w:rsidRPr="00F873C1">
              <w:rPr>
                <w:sz w:val="24"/>
                <w:szCs w:val="24"/>
              </w:rPr>
              <w:t>.00</w:t>
            </w:r>
          </w:p>
        </w:tc>
      </w:tr>
      <w:tr w:rsidR="00F873C1" w:rsidRPr="00F873C1" w14:paraId="09F8477A" w14:textId="77777777" w:rsidTr="00765907">
        <w:tc>
          <w:tcPr>
            <w:tcW w:w="5310" w:type="dxa"/>
          </w:tcPr>
          <w:p w14:paraId="35003D6B" w14:textId="472FA108" w:rsidR="00F873C1" w:rsidRPr="00B24A8E" w:rsidRDefault="00F873C1" w:rsidP="00765907">
            <w:pPr>
              <w:ind w:left="720"/>
              <w:rPr>
                <w:sz w:val="24"/>
                <w:szCs w:val="24"/>
              </w:rPr>
            </w:pPr>
            <w:r w:rsidRPr="00B24A8E">
              <w:rPr>
                <w:sz w:val="24"/>
                <w:szCs w:val="24"/>
              </w:rPr>
              <w:t>CPI 20</w:t>
            </w:r>
            <w:r w:rsidR="00B24A8E" w:rsidRPr="00B24A8E">
              <w:rPr>
                <w:sz w:val="24"/>
                <w:szCs w:val="24"/>
              </w:rPr>
              <w:t>20</w:t>
            </w:r>
            <w:r w:rsidRPr="00B24A8E">
              <w:rPr>
                <w:sz w:val="24"/>
                <w:szCs w:val="24"/>
              </w:rPr>
              <w:t>-20</w:t>
            </w:r>
            <w:r w:rsidR="00B24A8E" w:rsidRPr="00B24A8E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6541020B" w14:textId="24B993F0" w:rsidR="00F873C1" w:rsidRPr="00B24A8E" w:rsidRDefault="005B36E9" w:rsidP="00765907">
            <w:pPr>
              <w:jc w:val="right"/>
              <w:rPr>
                <w:sz w:val="24"/>
                <w:szCs w:val="24"/>
              </w:rPr>
            </w:pPr>
            <w:r w:rsidRPr="00B24A8E">
              <w:rPr>
                <w:sz w:val="24"/>
                <w:szCs w:val="24"/>
              </w:rPr>
              <w:t>6.64</w:t>
            </w:r>
            <w:r w:rsidR="00765907" w:rsidRPr="00B24A8E">
              <w:rPr>
                <w:sz w:val="24"/>
                <w:szCs w:val="24"/>
              </w:rPr>
              <w:t>%</w:t>
            </w:r>
          </w:p>
        </w:tc>
      </w:tr>
      <w:tr w:rsidR="00765907" w:rsidRPr="00F873C1" w14:paraId="6C2447F3" w14:textId="77777777" w:rsidTr="00765907">
        <w:tc>
          <w:tcPr>
            <w:tcW w:w="5310" w:type="dxa"/>
          </w:tcPr>
          <w:p w14:paraId="6CCBD3BD" w14:textId="77777777" w:rsidR="00765907" w:rsidRPr="00B24A8E" w:rsidRDefault="00765907" w:rsidP="0076590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286E5A1" w14:textId="29334157" w:rsidR="00765907" w:rsidRPr="00D22FC2" w:rsidRDefault="00765907" w:rsidP="00765907">
            <w:pPr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$</w:t>
            </w:r>
            <w:r w:rsidR="00D8378E" w:rsidRPr="00D22FC2">
              <w:rPr>
                <w:sz w:val="24"/>
                <w:szCs w:val="24"/>
              </w:rPr>
              <w:t>2.26</w:t>
            </w:r>
          </w:p>
        </w:tc>
      </w:tr>
      <w:tr w:rsidR="00F873C1" w:rsidRPr="00F873C1" w14:paraId="00D891B0" w14:textId="77777777" w:rsidTr="00765907">
        <w:tc>
          <w:tcPr>
            <w:tcW w:w="5310" w:type="dxa"/>
          </w:tcPr>
          <w:p w14:paraId="14DAC0E1" w14:textId="619C33DB" w:rsidR="00F873C1" w:rsidRPr="00F873C1" w:rsidRDefault="00061AB7" w:rsidP="0076590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cost</w:t>
            </w:r>
            <w:r w:rsidR="00F873C1" w:rsidRPr="00F873C1">
              <w:rPr>
                <w:sz w:val="24"/>
                <w:szCs w:val="24"/>
              </w:rPr>
              <w:t xml:space="preserve"> adjustment</w:t>
            </w:r>
          </w:p>
        </w:tc>
        <w:tc>
          <w:tcPr>
            <w:tcW w:w="1980" w:type="dxa"/>
          </w:tcPr>
          <w:p w14:paraId="27263C00" w14:textId="77777777" w:rsidR="00F873C1" w:rsidRPr="00D22FC2" w:rsidRDefault="00F873C1" w:rsidP="00765907">
            <w:pPr>
              <w:jc w:val="right"/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Not applied</w:t>
            </w:r>
          </w:p>
        </w:tc>
      </w:tr>
      <w:tr w:rsidR="00765907" w:rsidRPr="00F873C1" w14:paraId="71761B39" w14:textId="77777777" w:rsidTr="00765907">
        <w:tc>
          <w:tcPr>
            <w:tcW w:w="5310" w:type="dxa"/>
          </w:tcPr>
          <w:p w14:paraId="03F373B2" w14:textId="77777777" w:rsidR="00765907" w:rsidRPr="00061AB7" w:rsidRDefault="00765907" w:rsidP="007659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DAA1861" w14:textId="5AFF5FAD" w:rsidR="00765907" w:rsidRPr="00D22FC2" w:rsidRDefault="00765907" w:rsidP="00765907">
            <w:pPr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$0.00</w:t>
            </w:r>
          </w:p>
        </w:tc>
      </w:tr>
      <w:tr w:rsidR="00F873C1" w:rsidRPr="00F873C1" w14:paraId="68FD35C1" w14:textId="77777777" w:rsidTr="00765907">
        <w:tc>
          <w:tcPr>
            <w:tcW w:w="5310" w:type="dxa"/>
          </w:tcPr>
          <w:p w14:paraId="0F59BD92" w14:textId="303E5B60" w:rsidR="00F873C1" w:rsidRPr="00F873C1" w:rsidRDefault="00F873C1" w:rsidP="00765907">
            <w:pPr>
              <w:rPr>
                <w:b/>
                <w:sz w:val="24"/>
                <w:szCs w:val="24"/>
              </w:rPr>
            </w:pPr>
            <w:r w:rsidRPr="00F873C1">
              <w:rPr>
                <w:b/>
                <w:sz w:val="24"/>
                <w:szCs w:val="24"/>
              </w:rPr>
              <w:t>202</w:t>
            </w:r>
            <w:r w:rsidR="008C236A">
              <w:rPr>
                <w:b/>
                <w:sz w:val="24"/>
                <w:szCs w:val="24"/>
              </w:rPr>
              <w:t>3</w:t>
            </w:r>
            <w:r w:rsidRPr="00F873C1">
              <w:rPr>
                <w:b/>
                <w:sz w:val="24"/>
                <w:szCs w:val="24"/>
              </w:rPr>
              <w:t>-202</w:t>
            </w:r>
            <w:r w:rsidR="008C236A">
              <w:rPr>
                <w:b/>
                <w:sz w:val="24"/>
                <w:szCs w:val="24"/>
              </w:rPr>
              <w:t>4</w:t>
            </w:r>
            <w:r w:rsidRPr="00F873C1">
              <w:rPr>
                <w:b/>
                <w:sz w:val="24"/>
                <w:szCs w:val="24"/>
              </w:rPr>
              <w:t xml:space="preserve"> Application Fee</w:t>
            </w:r>
            <w:r w:rsidR="00765907">
              <w:rPr>
                <w:b/>
                <w:sz w:val="24"/>
                <w:szCs w:val="24"/>
              </w:rPr>
              <w:t xml:space="preserve"> – Rounded Amount</w:t>
            </w:r>
          </w:p>
        </w:tc>
        <w:tc>
          <w:tcPr>
            <w:tcW w:w="1980" w:type="dxa"/>
          </w:tcPr>
          <w:p w14:paraId="00CA3919" w14:textId="0177A0D2" w:rsidR="00F873C1" w:rsidRPr="00D22FC2" w:rsidRDefault="00765907" w:rsidP="00765907">
            <w:pPr>
              <w:rPr>
                <w:b/>
                <w:sz w:val="24"/>
                <w:szCs w:val="24"/>
              </w:rPr>
            </w:pPr>
            <w:r w:rsidRPr="00D22FC2">
              <w:rPr>
                <w:b/>
                <w:sz w:val="24"/>
                <w:szCs w:val="24"/>
              </w:rPr>
              <w:t>$3</w:t>
            </w:r>
            <w:r w:rsidR="00707053" w:rsidRPr="00D22FC2">
              <w:rPr>
                <w:b/>
                <w:sz w:val="24"/>
                <w:szCs w:val="24"/>
              </w:rPr>
              <w:t>6</w:t>
            </w:r>
            <w:r w:rsidR="00F873C1" w:rsidRPr="00D22FC2">
              <w:rPr>
                <w:b/>
                <w:sz w:val="24"/>
                <w:szCs w:val="24"/>
              </w:rPr>
              <w:t>.00</w:t>
            </w:r>
          </w:p>
        </w:tc>
      </w:tr>
      <w:tr w:rsidR="00061AB7" w:rsidRPr="00F873C1" w14:paraId="04747F27" w14:textId="77777777" w:rsidTr="00765907">
        <w:tc>
          <w:tcPr>
            <w:tcW w:w="5310" w:type="dxa"/>
          </w:tcPr>
          <w:p w14:paraId="04E250F9" w14:textId="77777777" w:rsidR="00061AB7" w:rsidRPr="00F873C1" w:rsidRDefault="00061AB7" w:rsidP="0076590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94919ED" w14:textId="77777777" w:rsidR="00061AB7" w:rsidRPr="00D22FC2" w:rsidRDefault="00061AB7" w:rsidP="00765907">
            <w:pPr>
              <w:rPr>
                <w:sz w:val="24"/>
                <w:szCs w:val="24"/>
              </w:rPr>
            </w:pPr>
          </w:p>
        </w:tc>
      </w:tr>
      <w:tr w:rsidR="00F873C1" w:rsidRPr="00F873C1" w14:paraId="2B9A53F8" w14:textId="77777777" w:rsidTr="00765907">
        <w:tc>
          <w:tcPr>
            <w:tcW w:w="5310" w:type="dxa"/>
          </w:tcPr>
          <w:p w14:paraId="5504221D" w14:textId="043EBDEF" w:rsidR="00F873C1" w:rsidRPr="00061AB7" w:rsidRDefault="00061AB7" w:rsidP="00765907">
            <w:pPr>
              <w:rPr>
                <w:b/>
                <w:sz w:val="24"/>
                <w:szCs w:val="24"/>
              </w:rPr>
            </w:pPr>
            <w:r w:rsidRPr="00061AB7">
              <w:rPr>
                <w:b/>
                <w:sz w:val="24"/>
                <w:szCs w:val="24"/>
              </w:rPr>
              <w:t>Base Permit Fee</w:t>
            </w:r>
          </w:p>
        </w:tc>
        <w:tc>
          <w:tcPr>
            <w:tcW w:w="1980" w:type="dxa"/>
          </w:tcPr>
          <w:p w14:paraId="1A9D9CF0" w14:textId="77777777" w:rsidR="00F873C1" w:rsidRPr="00D22FC2" w:rsidRDefault="00F873C1" w:rsidP="00765907">
            <w:pPr>
              <w:rPr>
                <w:sz w:val="24"/>
                <w:szCs w:val="24"/>
              </w:rPr>
            </w:pPr>
          </w:p>
        </w:tc>
      </w:tr>
      <w:tr w:rsidR="00F873C1" w:rsidRPr="00F873C1" w14:paraId="3348759F" w14:textId="77777777" w:rsidTr="00765907">
        <w:tc>
          <w:tcPr>
            <w:tcW w:w="5310" w:type="dxa"/>
          </w:tcPr>
          <w:p w14:paraId="5A940E16" w14:textId="0CD1DE2C" w:rsidR="00F873C1" w:rsidRPr="00F873C1" w:rsidRDefault="00F873C1" w:rsidP="00765907">
            <w:pPr>
              <w:rPr>
                <w:sz w:val="24"/>
                <w:szCs w:val="24"/>
              </w:rPr>
            </w:pPr>
            <w:r w:rsidRPr="00F873C1">
              <w:rPr>
                <w:sz w:val="24"/>
                <w:szCs w:val="24"/>
              </w:rPr>
              <w:t>20</w:t>
            </w:r>
            <w:r w:rsidR="008C236A">
              <w:rPr>
                <w:sz w:val="24"/>
                <w:szCs w:val="24"/>
              </w:rPr>
              <w:t>21</w:t>
            </w:r>
            <w:r w:rsidRPr="00F873C1">
              <w:rPr>
                <w:sz w:val="24"/>
                <w:szCs w:val="24"/>
              </w:rPr>
              <w:t>-202</w:t>
            </w:r>
            <w:r w:rsidR="008C236A">
              <w:rPr>
                <w:sz w:val="24"/>
                <w:szCs w:val="24"/>
              </w:rPr>
              <w:t>2</w:t>
            </w:r>
            <w:r w:rsidRPr="00F873C1">
              <w:rPr>
                <w:sz w:val="24"/>
                <w:szCs w:val="24"/>
              </w:rPr>
              <w:t xml:space="preserve"> Base Permit Fee</w:t>
            </w:r>
          </w:p>
        </w:tc>
        <w:tc>
          <w:tcPr>
            <w:tcW w:w="1980" w:type="dxa"/>
          </w:tcPr>
          <w:p w14:paraId="7CED3648" w14:textId="75120974" w:rsidR="00F873C1" w:rsidRPr="00D22FC2" w:rsidRDefault="00F873C1" w:rsidP="00765907">
            <w:pPr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$1</w:t>
            </w:r>
            <w:r w:rsidR="008C236A" w:rsidRPr="00D22FC2">
              <w:rPr>
                <w:sz w:val="24"/>
                <w:szCs w:val="24"/>
              </w:rPr>
              <w:t>6</w:t>
            </w:r>
            <w:r w:rsidRPr="00D22FC2">
              <w:rPr>
                <w:sz w:val="24"/>
                <w:szCs w:val="24"/>
              </w:rPr>
              <w:t>.00</w:t>
            </w:r>
          </w:p>
        </w:tc>
      </w:tr>
      <w:tr w:rsidR="00F873C1" w:rsidRPr="00F873C1" w14:paraId="03B69971" w14:textId="77777777" w:rsidTr="00765907">
        <w:tc>
          <w:tcPr>
            <w:tcW w:w="5310" w:type="dxa"/>
          </w:tcPr>
          <w:p w14:paraId="7DD52C33" w14:textId="52455C5A" w:rsidR="00F873C1" w:rsidRPr="00B24A8E" w:rsidRDefault="00F873C1" w:rsidP="00765907">
            <w:pPr>
              <w:ind w:left="720"/>
              <w:rPr>
                <w:sz w:val="24"/>
                <w:szCs w:val="24"/>
              </w:rPr>
            </w:pPr>
            <w:r w:rsidRPr="00B24A8E">
              <w:rPr>
                <w:sz w:val="24"/>
                <w:szCs w:val="24"/>
              </w:rPr>
              <w:t>CPI 20</w:t>
            </w:r>
            <w:r w:rsidR="00B24A8E" w:rsidRPr="00B24A8E">
              <w:rPr>
                <w:sz w:val="24"/>
                <w:szCs w:val="24"/>
              </w:rPr>
              <w:t>20</w:t>
            </w:r>
            <w:r w:rsidRPr="00B24A8E">
              <w:rPr>
                <w:sz w:val="24"/>
                <w:szCs w:val="24"/>
              </w:rPr>
              <w:t>-20</w:t>
            </w:r>
            <w:r w:rsidR="00B24A8E" w:rsidRPr="00B24A8E">
              <w:rPr>
                <w:sz w:val="24"/>
                <w:szCs w:val="24"/>
              </w:rPr>
              <w:t>21</w:t>
            </w:r>
          </w:p>
        </w:tc>
        <w:tc>
          <w:tcPr>
            <w:tcW w:w="1980" w:type="dxa"/>
          </w:tcPr>
          <w:p w14:paraId="760D9FC1" w14:textId="7211C73A" w:rsidR="00F873C1" w:rsidRPr="00D22FC2" w:rsidRDefault="00707053" w:rsidP="00765907">
            <w:pPr>
              <w:jc w:val="right"/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6.64</w:t>
            </w:r>
            <w:r w:rsidR="00765907" w:rsidRPr="00D22FC2">
              <w:rPr>
                <w:sz w:val="24"/>
                <w:szCs w:val="24"/>
              </w:rPr>
              <w:t>%</w:t>
            </w:r>
          </w:p>
        </w:tc>
      </w:tr>
      <w:tr w:rsidR="00061AB7" w:rsidRPr="00F873C1" w14:paraId="3257EE45" w14:textId="77777777" w:rsidTr="00765907">
        <w:tc>
          <w:tcPr>
            <w:tcW w:w="5310" w:type="dxa"/>
          </w:tcPr>
          <w:p w14:paraId="565D774E" w14:textId="77777777" w:rsidR="00061AB7" w:rsidRPr="00B24A8E" w:rsidRDefault="00061AB7" w:rsidP="0076590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AB6D00A" w14:textId="5F463CD9" w:rsidR="00061AB7" w:rsidRPr="00D22FC2" w:rsidRDefault="00061AB7" w:rsidP="00061AB7">
            <w:pPr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$</w:t>
            </w:r>
            <w:r w:rsidR="00C11215" w:rsidRPr="00D22FC2">
              <w:rPr>
                <w:sz w:val="24"/>
                <w:szCs w:val="24"/>
              </w:rPr>
              <w:t>1.06</w:t>
            </w:r>
          </w:p>
        </w:tc>
      </w:tr>
      <w:tr w:rsidR="00F873C1" w:rsidRPr="00F873C1" w14:paraId="18B3DEDE" w14:textId="77777777" w:rsidTr="00765907">
        <w:tc>
          <w:tcPr>
            <w:tcW w:w="5310" w:type="dxa"/>
          </w:tcPr>
          <w:p w14:paraId="0F292DF0" w14:textId="471225B0" w:rsidR="00F873C1" w:rsidRPr="00F873C1" w:rsidRDefault="00061AB7" w:rsidP="00765907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cost</w:t>
            </w:r>
            <w:r w:rsidR="00F873C1" w:rsidRPr="00F873C1">
              <w:rPr>
                <w:sz w:val="24"/>
                <w:szCs w:val="24"/>
              </w:rPr>
              <w:t xml:space="preserve"> adjustment</w:t>
            </w:r>
          </w:p>
        </w:tc>
        <w:tc>
          <w:tcPr>
            <w:tcW w:w="1980" w:type="dxa"/>
          </w:tcPr>
          <w:p w14:paraId="39D41845" w14:textId="77777777" w:rsidR="00F873C1" w:rsidRPr="00D22FC2" w:rsidRDefault="00F873C1" w:rsidP="00765907">
            <w:pPr>
              <w:jc w:val="right"/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Not applied</w:t>
            </w:r>
          </w:p>
        </w:tc>
      </w:tr>
      <w:tr w:rsidR="00061AB7" w:rsidRPr="00F873C1" w14:paraId="3011F400" w14:textId="77777777" w:rsidTr="00765907">
        <w:tc>
          <w:tcPr>
            <w:tcW w:w="5310" w:type="dxa"/>
          </w:tcPr>
          <w:p w14:paraId="76D87798" w14:textId="77777777" w:rsidR="00061AB7" w:rsidRPr="00F873C1" w:rsidRDefault="00061AB7" w:rsidP="0076590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9710677" w14:textId="3BCA65A3" w:rsidR="00061AB7" w:rsidRPr="00D22FC2" w:rsidRDefault="00061AB7" w:rsidP="00061AB7">
            <w:pPr>
              <w:rPr>
                <w:sz w:val="24"/>
                <w:szCs w:val="24"/>
              </w:rPr>
            </w:pPr>
            <w:r w:rsidRPr="00D22FC2">
              <w:rPr>
                <w:sz w:val="24"/>
                <w:szCs w:val="24"/>
              </w:rPr>
              <w:t>$0.00</w:t>
            </w:r>
          </w:p>
        </w:tc>
      </w:tr>
      <w:tr w:rsidR="00F873C1" w:rsidRPr="00F873C1" w14:paraId="7CEC0CF5" w14:textId="77777777" w:rsidTr="00765907">
        <w:tc>
          <w:tcPr>
            <w:tcW w:w="5310" w:type="dxa"/>
          </w:tcPr>
          <w:p w14:paraId="4779AF48" w14:textId="484C4AB4" w:rsidR="00F873C1" w:rsidRPr="00F873C1" w:rsidRDefault="00F873C1" w:rsidP="00765907">
            <w:pPr>
              <w:rPr>
                <w:b/>
                <w:sz w:val="24"/>
                <w:szCs w:val="24"/>
              </w:rPr>
            </w:pPr>
            <w:r w:rsidRPr="00F873C1">
              <w:rPr>
                <w:b/>
                <w:sz w:val="24"/>
                <w:szCs w:val="24"/>
              </w:rPr>
              <w:t>202</w:t>
            </w:r>
            <w:r w:rsidR="0042305B">
              <w:rPr>
                <w:b/>
                <w:sz w:val="24"/>
                <w:szCs w:val="24"/>
              </w:rPr>
              <w:t>3</w:t>
            </w:r>
            <w:r w:rsidRPr="00F873C1">
              <w:rPr>
                <w:b/>
                <w:sz w:val="24"/>
                <w:szCs w:val="24"/>
              </w:rPr>
              <w:t>-202</w:t>
            </w:r>
            <w:r w:rsidR="0042305B">
              <w:rPr>
                <w:b/>
                <w:sz w:val="24"/>
                <w:szCs w:val="24"/>
              </w:rPr>
              <w:t>4</w:t>
            </w:r>
            <w:r w:rsidRPr="00F873C1">
              <w:rPr>
                <w:b/>
                <w:sz w:val="24"/>
                <w:szCs w:val="24"/>
              </w:rPr>
              <w:t xml:space="preserve"> Base Permit Fee</w:t>
            </w:r>
            <w:r w:rsidR="00765907">
              <w:rPr>
                <w:b/>
                <w:sz w:val="24"/>
                <w:szCs w:val="24"/>
              </w:rPr>
              <w:t xml:space="preserve"> – Rounded Amount</w:t>
            </w:r>
          </w:p>
        </w:tc>
        <w:tc>
          <w:tcPr>
            <w:tcW w:w="1980" w:type="dxa"/>
          </w:tcPr>
          <w:p w14:paraId="224645AF" w14:textId="4C84A2B4" w:rsidR="00F873C1" w:rsidRPr="00D22FC2" w:rsidRDefault="00061AB7" w:rsidP="00765907">
            <w:pPr>
              <w:rPr>
                <w:b/>
                <w:sz w:val="24"/>
                <w:szCs w:val="24"/>
              </w:rPr>
            </w:pPr>
            <w:r w:rsidRPr="00D22FC2">
              <w:rPr>
                <w:b/>
                <w:sz w:val="24"/>
                <w:szCs w:val="24"/>
              </w:rPr>
              <w:t>$1</w:t>
            </w:r>
            <w:r w:rsidR="00B24A8E" w:rsidRPr="00D22FC2">
              <w:rPr>
                <w:b/>
                <w:sz w:val="24"/>
                <w:szCs w:val="24"/>
              </w:rPr>
              <w:t>7</w:t>
            </w:r>
            <w:r w:rsidR="00F873C1" w:rsidRPr="00D22FC2">
              <w:rPr>
                <w:b/>
                <w:sz w:val="24"/>
                <w:szCs w:val="24"/>
              </w:rPr>
              <w:t>.00</w:t>
            </w:r>
          </w:p>
        </w:tc>
      </w:tr>
    </w:tbl>
    <w:p w14:paraId="06BA10AA" w14:textId="77777777" w:rsidR="00F873C1" w:rsidRPr="00F873C1" w:rsidRDefault="00F873C1" w:rsidP="00F873C1">
      <w:pPr>
        <w:rPr>
          <w:sz w:val="24"/>
          <w:szCs w:val="24"/>
        </w:rPr>
      </w:pPr>
    </w:p>
    <w:p w14:paraId="2B1DEE66" w14:textId="77777777" w:rsidR="00F873C1" w:rsidRPr="00F873C1" w:rsidRDefault="00F873C1" w:rsidP="00F873C1">
      <w:pPr>
        <w:rPr>
          <w:rFonts w:ascii="Arial" w:hAnsi="Arial" w:cs="Arial"/>
          <w:b/>
          <w:sz w:val="24"/>
          <w:szCs w:val="24"/>
        </w:rPr>
      </w:pPr>
      <w:r w:rsidRPr="00F873C1">
        <w:rPr>
          <w:rFonts w:ascii="Arial" w:hAnsi="Arial" w:cs="Arial"/>
          <w:b/>
          <w:sz w:val="24"/>
          <w:szCs w:val="24"/>
        </w:rPr>
        <w:t>RULE</w:t>
      </w:r>
    </w:p>
    <w:p w14:paraId="364F9213" w14:textId="1467B080" w:rsidR="00F873C1" w:rsidRPr="00F873C1" w:rsidRDefault="00F873C1" w:rsidP="00F873C1">
      <w:pPr>
        <w:rPr>
          <w:sz w:val="24"/>
          <w:szCs w:val="24"/>
        </w:rPr>
      </w:pPr>
      <w:r w:rsidRPr="00F873C1">
        <w:rPr>
          <w:sz w:val="24"/>
          <w:szCs w:val="24"/>
        </w:rPr>
        <w:t>For permits covering all or part of calend</w:t>
      </w:r>
      <w:r w:rsidR="00061AB7">
        <w:rPr>
          <w:sz w:val="24"/>
          <w:szCs w:val="24"/>
        </w:rPr>
        <w:t>ar years 202</w:t>
      </w:r>
      <w:r w:rsidR="0042305B">
        <w:rPr>
          <w:sz w:val="24"/>
          <w:szCs w:val="24"/>
        </w:rPr>
        <w:t>3</w:t>
      </w:r>
      <w:r w:rsidR="00061AB7">
        <w:rPr>
          <w:sz w:val="24"/>
          <w:szCs w:val="24"/>
        </w:rPr>
        <w:t xml:space="preserve"> or 202</w:t>
      </w:r>
      <w:r w:rsidR="0042305B">
        <w:rPr>
          <w:sz w:val="24"/>
          <w:szCs w:val="24"/>
        </w:rPr>
        <w:t>4</w:t>
      </w:r>
      <w:r w:rsidR="00061AB7">
        <w:rPr>
          <w:sz w:val="24"/>
          <w:szCs w:val="24"/>
        </w:rPr>
        <w:t xml:space="preserve">, the </w:t>
      </w:r>
      <w:r w:rsidRPr="00F873C1">
        <w:rPr>
          <w:sz w:val="24"/>
          <w:szCs w:val="24"/>
        </w:rPr>
        <w:t>application fee under SMC Section 3.35.</w:t>
      </w:r>
      <w:r w:rsidRPr="00D22FC2">
        <w:rPr>
          <w:sz w:val="24"/>
          <w:szCs w:val="24"/>
        </w:rPr>
        <w:t>060 shall be Thirty-</w:t>
      </w:r>
      <w:r w:rsidR="00717258" w:rsidRPr="00D22FC2">
        <w:rPr>
          <w:sz w:val="24"/>
          <w:szCs w:val="24"/>
        </w:rPr>
        <w:t>Six</w:t>
      </w:r>
      <w:r w:rsidR="00061AB7" w:rsidRPr="00D22FC2">
        <w:rPr>
          <w:sz w:val="24"/>
          <w:szCs w:val="24"/>
        </w:rPr>
        <w:t xml:space="preserve"> Dollars ($3</w:t>
      </w:r>
      <w:r w:rsidR="00717258" w:rsidRPr="00D22FC2">
        <w:rPr>
          <w:sz w:val="24"/>
          <w:szCs w:val="24"/>
        </w:rPr>
        <w:t>6</w:t>
      </w:r>
      <w:r w:rsidRPr="00D22FC2">
        <w:rPr>
          <w:sz w:val="24"/>
          <w:szCs w:val="24"/>
        </w:rPr>
        <w:t>.00) per year for any size plot and the base permit f</w:t>
      </w:r>
      <w:r w:rsidR="0033217B" w:rsidRPr="00D22FC2">
        <w:rPr>
          <w:sz w:val="24"/>
          <w:szCs w:val="24"/>
        </w:rPr>
        <w:t>ee shall be S</w:t>
      </w:r>
      <w:r w:rsidR="00717258" w:rsidRPr="00D22FC2">
        <w:rPr>
          <w:sz w:val="24"/>
          <w:szCs w:val="24"/>
        </w:rPr>
        <w:t>eventeen</w:t>
      </w:r>
      <w:r w:rsidR="00061AB7" w:rsidRPr="00D22FC2">
        <w:rPr>
          <w:sz w:val="24"/>
          <w:szCs w:val="24"/>
        </w:rPr>
        <w:t xml:space="preserve"> Dollars ($1</w:t>
      </w:r>
      <w:r w:rsidR="005704DC" w:rsidRPr="00D22FC2">
        <w:rPr>
          <w:sz w:val="24"/>
          <w:szCs w:val="24"/>
        </w:rPr>
        <w:t>7</w:t>
      </w:r>
      <w:r w:rsidRPr="00D22FC2">
        <w:rPr>
          <w:sz w:val="24"/>
          <w:szCs w:val="24"/>
        </w:rPr>
        <w:t>.00) per year for each standard unit or any part of a standard unit.  The same fees shall apply to later years unless modified</w:t>
      </w:r>
      <w:r w:rsidRPr="00F873C1">
        <w:rPr>
          <w:sz w:val="24"/>
          <w:szCs w:val="24"/>
        </w:rPr>
        <w:t xml:space="preserve"> by rule or ordinance. </w:t>
      </w:r>
    </w:p>
    <w:p w14:paraId="50679220" w14:textId="77777777" w:rsidR="00D9405A" w:rsidRDefault="00D9405A" w:rsidP="00F873C1"/>
    <w:sectPr w:rsidR="00D9405A" w:rsidSect="000268E9">
      <w:headerReference w:type="default" r:id="rId7"/>
      <w:footerReference w:type="first" r:id="rId8"/>
      <w:pgSz w:w="12240" w:h="15840"/>
      <w:pgMar w:top="1080" w:right="144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4523" w14:textId="77777777" w:rsidR="00870725" w:rsidRDefault="00870725" w:rsidP="00FE78C4">
      <w:r>
        <w:separator/>
      </w:r>
    </w:p>
  </w:endnote>
  <w:endnote w:type="continuationSeparator" w:id="0">
    <w:p w14:paraId="2CE41D5B" w14:textId="77777777" w:rsidR="00870725" w:rsidRDefault="00870725" w:rsidP="00FE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FDF3" w14:textId="77777777" w:rsidR="00765907" w:rsidRDefault="00765907" w:rsidP="00FE78C4"/>
  <w:tbl>
    <w:tblPr>
      <w:tblW w:w="9630" w:type="dxa"/>
      <w:tblInd w:w="108" w:type="dxa"/>
      <w:tblLayout w:type="fixed"/>
      <w:tblLook w:val="0000" w:firstRow="0" w:lastRow="0" w:firstColumn="0" w:lastColumn="0" w:noHBand="0" w:noVBand="0"/>
    </w:tblPr>
    <w:tblGrid>
      <w:gridCol w:w="5940"/>
      <w:gridCol w:w="3690"/>
    </w:tblGrid>
    <w:tr w:rsidR="00765907" w14:paraId="5AD5C267" w14:textId="77777777" w:rsidTr="007D529D">
      <w:tc>
        <w:tcPr>
          <w:tcW w:w="5940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6D684697" w14:textId="77777777" w:rsidR="00765907" w:rsidRPr="00FE78C4" w:rsidRDefault="00765907" w:rsidP="00FE78C4">
          <w:pPr>
            <w:pStyle w:val="Heading6"/>
            <w:spacing w:before="0"/>
            <w:rPr>
              <w:rFonts w:ascii="Arial" w:hAnsi="Arial" w:cs="Arial"/>
              <w:caps/>
              <w:color w:val="auto"/>
              <w:sz w:val="16"/>
              <w:szCs w:val="16"/>
            </w:rPr>
          </w:pPr>
          <w:r w:rsidRPr="00FE78C4">
            <w:rPr>
              <w:rFonts w:ascii="Arial" w:hAnsi="Arial" w:cs="Arial"/>
              <w:color w:val="auto"/>
              <w:sz w:val="16"/>
              <w:szCs w:val="16"/>
            </w:rPr>
            <w:t>City of Seattle Department of Neighborhoods</w:t>
          </w:r>
          <w:r w:rsidRPr="00FE78C4">
            <w:rPr>
              <w:rFonts w:ascii="Arial" w:hAnsi="Arial" w:cs="Arial"/>
              <w:caps/>
              <w:color w:val="auto"/>
              <w:sz w:val="16"/>
              <w:szCs w:val="16"/>
            </w:rPr>
            <w:t xml:space="preserve"> </w:t>
          </w:r>
        </w:p>
      </w:tc>
      <w:tc>
        <w:tcPr>
          <w:tcW w:w="3690" w:type="dxa"/>
          <w:tcBorders>
            <w:top w:val="single" w:sz="18" w:space="0" w:color="auto"/>
            <w:left w:val="nil"/>
            <w:bottom w:val="nil"/>
            <w:right w:val="nil"/>
          </w:tcBorders>
          <w:shd w:val="clear" w:color="auto" w:fill="auto"/>
        </w:tcPr>
        <w:p w14:paraId="5468FD99" w14:textId="5D92684E" w:rsidR="00765907" w:rsidRDefault="007D529D" w:rsidP="008070C4">
          <w:pPr>
            <w:ind w:right="-289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            </w:t>
          </w:r>
          <w:r w:rsidR="008070C4">
            <w:rPr>
              <w:rFonts w:ascii="Arial" w:hAnsi="Arial"/>
              <w:b/>
              <w:sz w:val="16"/>
            </w:rPr>
            <w:t>Sarah Morningstar, Acting</w:t>
          </w:r>
          <w:r w:rsidR="00765907">
            <w:rPr>
              <w:rFonts w:ascii="Arial" w:hAnsi="Arial"/>
              <w:b/>
              <w:sz w:val="16"/>
            </w:rPr>
            <w:t xml:space="preserve"> Director</w:t>
          </w:r>
        </w:p>
      </w:tc>
    </w:tr>
    <w:tr w:rsidR="00765907" w14:paraId="1EBD3E60" w14:textId="77777777" w:rsidTr="007D529D">
      <w:tc>
        <w:tcPr>
          <w:tcW w:w="5940" w:type="dxa"/>
          <w:shd w:val="clear" w:color="auto" w:fill="auto"/>
        </w:tcPr>
        <w:p w14:paraId="558FD1DE" w14:textId="77777777" w:rsidR="00765907" w:rsidRPr="00FE78C4" w:rsidRDefault="00765907" w:rsidP="00FE78C4">
          <w:pPr>
            <w:pStyle w:val="Heading6"/>
            <w:spacing w:before="0"/>
            <w:rPr>
              <w:rFonts w:ascii="Arial" w:hAnsi="Arial" w:cs="Arial"/>
              <w:b/>
              <w:color w:val="auto"/>
              <w:sz w:val="16"/>
              <w:szCs w:val="16"/>
            </w:rPr>
          </w:pPr>
          <w:r w:rsidRPr="00FE78C4">
            <w:rPr>
              <w:rFonts w:ascii="Arial" w:hAnsi="Arial" w:cs="Arial"/>
              <w:color w:val="auto"/>
              <w:sz w:val="16"/>
              <w:szCs w:val="16"/>
            </w:rPr>
            <w:t>600 Fourth Avenue, 4</w:t>
          </w:r>
          <w:r w:rsidRPr="00FE78C4">
            <w:rPr>
              <w:rFonts w:ascii="Arial" w:hAnsi="Arial" w:cs="Arial"/>
              <w:color w:val="auto"/>
              <w:sz w:val="16"/>
              <w:szCs w:val="16"/>
              <w:vertAlign w:val="superscript"/>
            </w:rPr>
            <w:t>th</w:t>
          </w:r>
          <w:r w:rsidRPr="00FE78C4">
            <w:rPr>
              <w:rFonts w:ascii="Arial" w:hAnsi="Arial" w:cs="Arial"/>
              <w:color w:val="auto"/>
              <w:sz w:val="16"/>
              <w:szCs w:val="16"/>
            </w:rPr>
            <w:t xml:space="preserve"> Floor, PO Box 94649, Seattle, WA 98124-4649</w:t>
          </w:r>
        </w:p>
      </w:tc>
      <w:tc>
        <w:tcPr>
          <w:tcW w:w="3690" w:type="dxa"/>
          <w:shd w:val="clear" w:color="auto" w:fill="auto"/>
        </w:tcPr>
        <w:p w14:paraId="0973136F" w14:textId="77777777" w:rsidR="00765907" w:rsidRDefault="00765907" w:rsidP="00FE78C4">
          <w:pPr>
            <w:rPr>
              <w:rFonts w:ascii="Arial" w:hAnsi="Arial"/>
              <w:b/>
              <w:sz w:val="16"/>
            </w:rPr>
          </w:pPr>
        </w:p>
      </w:tc>
    </w:tr>
  </w:tbl>
  <w:p w14:paraId="4A634DF1" w14:textId="77777777" w:rsidR="00765907" w:rsidRDefault="00765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D9E2" w14:textId="77777777" w:rsidR="00870725" w:rsidRDefault="00870725" w:rsidP="00FE78C4">
      <w:r>
        <w:separator/>
      </w:r>
    </w:p>
  </w:footnote>
  <w:footnote w:type="continuationSeparator" w:id="0">
    <w:p w14:paraId="2C79607D" w14:textId="77777777" w:rsidR="00870725" w:rsidRDefault="00870725" w:rsidP="00FE7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AA7E" w14:textId="3421B199" w:rsidR="00765907" w:rsidRDefault="00765907" w:rsidP="00FE78C4">
    <w:pPr>
      <w:pStyle w:val="Header"/>
      <w:jc w:val="right"/>
      <w:rPr>
        <w:rFonts w:ascii="Microsoft Sans Serif" w:hAnsi="Microsoft Sans Serif"/>
        <w:sz w:val="16"/>
      </w:rPr>
    </w:pPr>
    <w:r w:rsidRPr="00923E88">
      <w:rPr>
        <w:rFonts w:ascii="Microsoft Sans Serif" w:hAnsi="Microsoft Sans Serif"/>
        <w:sz w:val="16"/>
      </w:rPr>
      <w:t xml:space="preserve">DON </w:t>
    </w:r>
    <w:r w:rsidRPr="0033217B">
      <w:rPr>
        <w:rFonts w:ascii="Microsoft Sans Serif" w:hAnsi="Microsoft Sans Serif"/>
        <w:sz w:val="16"/>
      </w:rPr>
      <w:t xml:space="preserve">Director’s </w:t>
    </w:r>
    <w:r w:rsidR="00AE230F" w:rsidRPr="0033217B">
      <w:rPr>
        <w:rFonts w:ascii="Microsoft Sans Serif" w:hAnsi="Microsoft Sans Serif"/>
        <w:sz w:val="16"/>
      </w:rPr>
      <w:t xml:space="preserve">Rule </w:t>
    </w:r>
    <w:r w:rsidR="0033217B" w:rsidRPr="0033217B">
      <w:rPr>
        <w:rFonts w:ascii="Microsoft Sans Serif" w:hAnsi="Microsoft Sans Serif"/>
        <w:sz w:val="16"/>
      </w:rPr>
      <w:t>1</w:t>
    </w:r>
    <w:r w:rsidR="00600FA0">
      <w:rPr>
        <w:rFonts w:ascii="Microsoft Sans Serif" w:hAnsi="Microsoft Sans Serif"/>
        <w:sz w:val="16"/>
      </w:rPr>
      <w:t>-2021</w:t>
    </w:r>
  </w:p>
  <w:p w14:paraId="3653773F" w14:textId="77777777" w:rsidR="00765907" w:rsidRDefault="00765907" w:rsidP="00FE78C4">
    <w:pPr>
      <w:pStyle w:val="Header"/>
      <w:jc w:val="right"/>
      <w:rPr>
        <w:rFonts w:ascii="Microsoft Sans Serif" w:hAnsi="Microsoft Sans Serif"/>
        <w:snapToGrid w:val="0"/>
        <w:sz w:val="16"/>
      </w:rPr>
    </w:pPr>
    <w:r>
      <w:rPr>
        <w:rFonts w:ascii="Microsoft Sans Serif" w:hAnsi="Microsoft Sans Serif"/>
        <w:sz w:val="16"/>
      </w:rPr>
      <w:t xml:space="preserve">Page </w:t>
    </w:r>
    <w:r>
      <w:rPr>
        <w:rStyle w:val="PageNumber"/>
        <w:rFonts w:ascii="Microsoft Sans Serif" w:hAnsi="Microsoft Sans Serif"/>
        <w:sz w:val="16"/>
      </w:rPr>
      <w:fldChar w:fldCharType="begin"/>
    </w:r>
    <w:r>
      <w:rPr>
        <w:rStyle w:val="PageNumber"/>
        <w:rFonts w:ascii="Microsoft Sans Serif" w:hAnsi="Microsoft Sans Serif"/>
        <w:sz w:val="16"/>
      </w:rPr>
      <w:instrText xml:space="preserve"> PAGE </w:instrText>
    </w:r>
    <w:r>
      <w:rPr>
        <w:rStyle w:val="PageNumber"/>
        <w:rFonts w:ascii="Microsoft Sans Serif" w:hAnsi="Microsoft Sans Serif"/>
        <w:sz w:val="16"/>
      </w:rPr>
      <w:fldChar w:fldCharType="separate"/>
    </w:r>
    <w:r w:rsidR="00600FA0">
      <w:rPr>
        <w:rStyle w:val="PageNumber"/>
        <w:rFonts w:ascii="Microsoft Sans Serif" w:hAnsi="Microsoft Sans Serif"/>
        <w:noProof/>
        <w:sz w:val="16"/>
      </w:rPr>
      <w:t>2</w:t>
    </w:r>
    <w:r>
      <w:rPr>
        <w:rStyle w:val="PageNumber"/>
        <w:rFonts w:ascii="Microsoft Sans Serif" w:hAnsi="Microsoft Sans Serif"/>
        <w:sz w:val="16"/>
      </w:rPr>
      <w:fldChar w:fldCharType="end"/>
    </w:r>
    <w:r>
      <w:rPr>
        <w:rStyle w:val="PageNumber"/>
        <w:rFonts w:ascii="Microsoft Sans Serif" w:hAnsi="Microsoft Sans Serif"/>
        <w:sz w:val="16"/>
      </w:rPr>
      <w:t xml:space="preserve"> of </w:t>
    </w:r>
    <w:r>
      <w:rPr>
        <w:rStyle w:val="PageNumber"/>
        <w:rFonts w:ascii="Microsoft Sans Serif" w:hAnsi="Microsoft Sans Serif"/>
        <w:sz w:val="16"/>
      </w:rPr>
      <w:fldChar w:fldCharType="begin"/>
    </w:r>
    <w:r>
      <w:rPr>
        <w:rStyle w:val="PageNumber"/>
        <w:rFonts w:ascii="Microsoft Sans Serif" w:hAnsi="Microsoft Sans Serif"/>
        <w:sz w:val="16"/>
      </w:rPr>
      <w:instrText xml:space="preserve"> NUMPAGES </w:instrText>
    </w:r>
    <w:r>
      <w:rPr>
        <w:rStyle w:val="PageNumber"/>
        <w:rFonts w:ascii="Microsoft Sans Serif" w:hAnsi="Microsoft Sans Serif"/>
        <w:sz w:val="16"/>
      </w:rPr>
      <w:fldChar w:fldCharType="separate"/>
    </w:r>
    <w:r w:rsidR="00600FA0">
      <w:rPr>
        <w:rStyle w:val="PageNumber"/>
        <w:rFonts w:ascii="Microsoft Sans Serif" w:hAnsi="Microsoft Sans Serif"/>
        <w:noProof/>
        <w:sz w:val="16"/>
      </w:rPr>
      <w:t>2</w:t>
    </w:r>
    <w:r>
      <w:rPr>
        <w:rStyle w:val="PageNumber"/>
        <w:rFonts w:ascii="Microsoft Sans Serif" w:hAnsi="Microsoft Sans Serif"/>
        <w:sz w:val="16"/>
      </w:rPr>
      <w:fldChar w:fldCharType="end"/>
    </w:r>
  </w:p>
  <w:p w14:paraId="1E113F5C" w14:textId="77777777" w:rsidR="00765907" w:rsidRDefault="00765907" w:rsidP="00FE78C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C4"/>
    <w:rsid w:val="000268E9"/>
    <w:rsid w:val="00034705"/>
    <w:rsid w:val="00061AB7"/>
    <w:rsid w:val="00073407"/>
    <w:rsid w:val="000C1B66"/>
    <w:rsid w:val="000F10E9"/>
    <w:rsid w:val="001171FD"/>
    <w:rsid w:val="00132E32"/>
    <w:rsid w:val="001A3031"/>
    <w:rsid w:val="001B3D8A"/>
    <w:rsid w:val="001F7C00"/>
    <w:rsid w:val="0020641E"/>
    <w:rsid w:val="002147B0"/>
    <w:rsid w:val="00233870"/>
    <w:rsid w:val="002407E7"/>
    <w:rsid w:val="002459ED"/>
    <w:rsid w:val="0033217B"/>
    <w:rsid w:val="00332257"/>
    <w:rsid w:val="0034447D"/>
    <w:rsid w:val="003C58D4"/>
    <w:rsid w:val="0042305B"/>
    <w:rsid w:val="004447D2"/>
    <w:rsid w:val="004545F8"/>
    <w:rsid w:val="004A4065"/>
    <w:rsid w:val="004E153A"/>
    <w:rsid w:val="004E62F5"/>
    <w:rsid w:val="00513434"/>
    <w:rsid w:val="00522355"/>
    <w:rsid w:val="0053699E"/>
    <w:rsid w:val="00565491"/>
    <w:rsid w:val="005704DC"/>
    <w:rsid w:val="0058562F"/>
    <w:rsid w:val="005B36E9"/>
    <w:rsid w:val="00600FA0"/>
    <w:rsid w:val="00624D21"/>
    <w:rsid w:val="00627D86"/>
    <w:rsid w:val="00707053"/>
    <w:rsid w:val="00717258"/>
    <w:rsid w:val="007526EF"/>
    <w:rsid w:val="00757723"/>
    <w:rsid w:val="00765907"/>
    <w:rsid w:val="007D3F47"/>
    <w:rsid w:val="007D529D"/>
    <w:rsid w:val="007F3A7E"/>
    <w:rsid w:val="007F7725"/>
    <w:rsid w:val="008070C4"/>
    <w:rsid w:val="00870725"/>
    <w:rsid w:val="008B032E"/>
    <w:rsid w:val="008C236A"/>
    <w:rsid w:val="00902073"/>
    <w:rsid w:val="0096194A"/>
    <w:rsid w:val="00983691"/>
    <w:rsid w:val="009C2890"/>
    <w:rsid w:val="009D30B5"/>
    <w:rsid w:val="00A053E6"/>
    <w:rsid w:val="00A264CE"/>
    <w:rsid w:val="00AA4DCA"/>
    <w:rsid w:val="00AE230F"/>
    <w:rsid w:val="00AF6A8E"/>
    <w:rsid w:val="00B13EA3"/>
    <w:rsid w:val="00B24A8E"/>
    <w:rsid w:val="00B579B0"/>
    <w:rsid w:val="00B950B7"/>
    <w:rsid w:val="00BA47B6"/>
    <w:rsid w:val="00BD468B"/>
    <w:rsid w:val="00C11215"/>
    <w:rsid w:val="00C17D43"/>
    <w:rsid w:val="00C33A35"/>
    <w:rsid w:val="00C427CF"/>
    <w:rsid w:val="00C666A3"/>
    <w:rsid w:val="00CE63FC"/>
    <w:rsid w:val="00D22FC2"/>
    <w:rsid w:val="00D44A9B"/>
    <w:rsid w:val="00D8378E"/>
    <w:rsid w:val="00D9405A"/>
    <w:rsid w:val="00D9439F"/>
    <w:rsid w:val="00E25EAA"/>
    <w:rsid w:val="00E654C6"/>
    <w:rsid w:val="00E74DA6"/>
    <w:rsid w:val="00E758A7"/>
    <w:rsid w:val="00EC1660"/>
    <w:rsid w:val="00EE11CD"/>
    <w:rsid w:val="00EF7AFF"/>
    <w:rsid w:val="00F41ED8"/>
    <w:rsid w:val="00F8012B"/>
    <w:rsid w:val="00F873C1"/>
    <w:rsid w:val="00F95F13"/>
    <w:rsid w:val="00FA7D24"/>
    <w:rsid w:val="00FD283A"/>
    <w:rsid w:val="00FD48C7"/>
    <w:rsid w:val="00FD608D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4C1AA"/>
  <w15:docId w15:val="{E0F91950-344D-40F0-9D84-BB479822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8C4"/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E78C4"/>
    <w:pPr>
      <w:keepNext/>
      <w:spacing w:before="120" w:after="120"/>
      <w:ind w:left="108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FE78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78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8C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E78C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E78C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E78C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E78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78C4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FE78C4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E78C4"/>
    <w:rPr>
      <w:rFonts w:ascii="Times New Roman" w:eastAsia="Times New Roman" w:hAnsi="Times New Roman" w:cs="Times New Roman"/>
      <w:sz w:val="24"/>
      <w:szCs w:val="20"/>
    </w:rPr>
  </w:style>
  <w:style w:type="paragraph" w:customStyle="1" w:styleId="Blockquote">
    <w:name w:val="Blockquote"/>
    <w:basedOn w:val="Normal"/>
    <w:rsid w:val="00FE78C4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BodyText2">
    <w:name w:val="Body Text 2"/>
    <w:basedOn w:val="Normal"/>
    <w:link w:val="BodyText2Char"/>
    <w:rsid w:val="00FE78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E78C4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FE78C4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8C4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8C4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PageNumber">
    <w:name w:val="page number"/>
    <w:basedOn w:val="DefaultParagraphFont"/>
    <w:rsid w:val="00FE78C4"/>
  </w:style>
  <w:style w:type="paragraph" w:styleId="BalloonText">
    <w:name w:val="Balloon Text"/>
    <w:basedOn w:val="Normal"/>
    <w:link w:val="BalloonTextChar"/>
    <w:uiPriority w:val="99"/>
    <w:semiHidden/>
    <w:unhideWhenUsed/>
    <w:rsid w:val="00A26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C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873C1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BC28-A320-424A-8795-62BE9EB7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Belz, Sara</dc:creator>
  <cp:keywords/>
  <dc:description/>
  <cp:lastModifiedBy>Read, Sam</cp:lastModifiedBy>
  <cp:revision>2</cp:revision>
  <cp:lastPrinted>2020-12-16T19:40:00Z</cp:lastPrinted>
  <dcterms:created xsi:type="dcterms:W3CDTF">2022-11-01T21:41:00Z</dcterms:created>
  <dcterms:modified xsi:type="dcterms:W3CDTF">2022-11-01T21:41:00Z</dcterms:modified>
</cp:coreProperties>
</file>