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247" w:rsidRDefault="00951247" w:rsidP="00951247">
      <w:pPr>
        <w:spacing w:line="1064" w:lineRule="exact"/>
        <w:ind w:left="5017"/>
        <w:rPr>
          <w:rFonts w:ascii="Times New Roman" w:eastAsia="Times New Roman" w:hAnsi="Times New Roman" w:cs="Times New Roman"/>
          <w:sz w:val="20"/>
          <w:szCs w:val="20"/>
        </w:rPr>
      </w:pPr>
      <w:r>
        <w:rPr>
          <w:rFonts w:ascii="Times New Roman" w:eastAsia="Times New Roman" w:hAnsi="Times New Roman" w:cs="Times New Roman"/>
          <w:noProof/>
          <w:position w:val="-20"/>
          <w:sz w:val="20"/>
          <w:szCs w:val="20"/>
        </w:rPr>
        <w:drawing>
          <wp:inline distT="0" distB="0" distL="0" distR="0" wp14:anchorId="18638E7D" wp14:editId="3E5E01E4">
            <wp:extent cx="680821" cy="675798"/>
            <wp:effectExtent l="0" t="0" r="0" b="0"/>
            <wp:docPr id="1" name="image1.jpeg"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0821" cy="675798"/>
                    </a:xfrm>
                    <a:prstGeom prst="rect">
                      <a:avLst/>
                    </a:prstGeom>
                  </pic:spPr>
                </pic:pic>
              </a:graphicData>
            </a:graphic>
          </wp:inline>
        </w:drawing>
      </w:r>
    </w:p>
    <w:p w:rsidR="00951247" w:rsidRPr="00987B46" w:rsidRDefault="00951247" w:rsidP="00951247">
      <w:pPr>
        <w:spacing w:before="47"/>
        <w:ind w:left="4092" w:right="4090" w:firstLine="729"/>
        <w:rPr>
          <w:rFonts w:ascii="Seattle Text" w:eastAsia="Calibri" w:hAnsi="Seattle Text" w:cs="Seattle Text"/>
          <w:sz w:val="24"/>
          <w:szCs w:val="24"/>
        </w:rPr>
      </w:pPr>
      <w:r w:rsidRPr="00987B46">
        <w:rPr>
          <w:rFonts w:ascii="Seattle Text" w:hAnsi="Seattle Text" w:cs="Seattle Text"/>
          <w:b/>
          <w:sz w:val="24"/>
        </w:rPr>
        <w:t>City of</w:t>
      </w:r>
      <w:r w:rsidRPr="00987B46">
        <w:rPr>
          <w:rFonts w:ascii="Seattle Text" w:hAnsi="Seattle Text" w:cs="Seattle Text"/>
          <w:b/>
          <w:spacing w:val="10"/>
          <w:sz w:val="24"/>
        </w:rPr>
        <w:t xml:space="preserve"> </w:t>
      </w:r>
      <w:r w:rsidRPr="00987B46">
        <w:rPr>
          <w:rFonts w:ascii="Seattle Text" w:hAnsi="Seattle Text" w:cs="Seattle Text"/>
          <w:b/>
          <w:sz w:val="24"/>
        </w:rPr>
        <w:t>Seattle Human Services</w:t>
      </w:r>
      <w:r w:rsidRPr="00987B46">
        <w:rPr>
          <w:rFonts w:ascii="Seattle Text" w:hAnsi="Seattle Text" w:cs="Seattle Text"/>
          <w:b/>
          <w:spacing w:val="-10"/>
          <w:sz w:val="24"/>
        </w:rPr>
        <w:t xml:space="preserve"> </w:t>
      </w:r>
      <w:r w:rsidRPr="00987B46">
        <w:rPr>
          <w:rFonts w:ascii="Seattle Text" w:hAnsi="Seattle Text" w:cs="Seattle Text"/>
          <w:b/>
          <w:sz w:val="24"/>
        </w:rPr>
        <w:t>Department</w:t>
      </w:r>
    </w:p>
    <w:p w:rsidR="00951247" w:rsidRDefault="00951247" w:rsidP="00951247">
      <w:pPr>
        <w:rPr>
          <w:rFonts w:ascii="Calibri" w:eastAsia="Calibri" w:hAnsi="Calibri" w:cs="Calibri"/>
          <w:b/>
          <w:bCs/>
          <w:sz w:val="24"/>
          <w:szCs w:val="24"/>
        </w:rPr>
      </w:pPr>
    </w:p>
    <w:p w:rsidR="00951247" w:rsidRDefault="00951247" w:rsidP="00951247">
      <w:pPr>
        <w:spacing w:before="11"/>
        <w:rPr>
          <w:rFonts w:ascii="Calibri" w:eastAsia="Calibri" w:hAnsi="Calibri" w:cs="Calibri"/>
          <w:b/>
          <w:bCs/>
          <w:sz w:val="19"/>
          <w:szCs w:val="19"/>
        </w:rPr>
      </w:pPr>
    </w:p>
    <w:p w:rsidR="00951247" w:rsidRDefault="00951247" w:rsidP="00951247">
      <w:pPr>
        <w:ind w:left="2683" w:right="134"/>
        <w:rPr>
          <w:rFonts w:ascii="Calibri" w:eastAsia="Calibri" w:hAnsi="Calibri" w:cs="Calibri"/>
          <w:sz w:val="32"/>
          <w:szCs w:val="32"/>
        </w:rPr>
      </w:pPr>
      <w:r>
        <w:rPr>
          <w:rFonts w:ascii="Calibri"/>
          <w:b/>
          <w:sz w:val="32"/>
        </w:rPr>
        <w:t>2016 Notice of Funding Availability</w:t>
      </w:r>
      <w:r>
        <w:rPr>
          <w:rFonts w:ascii="Calibri"/>
          <w:b/>
          <w:spacing w:val="-23"/>
          <w:sz w:val="32"/>
        </w:rPr>
        <w:t xml:space="preserve"> </w:t>
      </w:r>
      <w:r>
        <w:rPr>
          <w:rFonts w:ascii="Calibri"/>
          <w:b/>
          <w:sz w:val="32"/>
        </w:rPr>
        <w:t>(NOFA)</w:t>
      </w:r>
    </w:p>
    <w:p w:rsidR="00951247" w:rsidRDefault="00951247" w:rsidP="00951247">
      <w:pPr>
        <w:spacing w:before="10"/>
        <w:rPr>
          <w:rFonts w:ascii="Calibri" w:eastAsia="Calibri" w:hAnsi="Calibri" w:cs="Calibri"/>
          <w:b/>
          <w:bCs/>
          <w:sz w:val="23"/>
          <w:szCs w:val="23"/>
        </w:rPr>
      </w:pPr>
    </w:p>
    <w:tbl>
      <w:tblPr>
        <w:tblStyle w:val="TableGrid"/>
        <w:tblW w:w="0" w:type="auto"/>
        <w:tblInd w:w="115" w:type="dxa"/>
        <w:tblLook w:val="04A0" w:firstRow="1" w:lastRow="0" w:firstColumn="1" w:lastColumn="0" w:noHBand="0" w:noVBand="1"/>
      </w:tblPr>
      <w:tblGrid>
        <w:gridCol w:w="10915"/>
      </w:tblGrid>
      <w:tr w:rsidR="00951247" w:rsidTr="00951247">
        <w:tc>
          <w:tcPr>
            <w:tcW w:w="11030" w:type="dxa"/>
            <w:shd w:val="clear" w:color="auto" w:fill="9CC2E5" w:themeFill="accent1" w:themeFillTint="99"/>
          </w:tcPr>
          <w:p w:rsidR="00951247" w:rsidRPr="00951247" w:rsidRDefault="00951247" w:rsidP="00951247">
            <w:pPr>
              <w:pStyle w:val="ListParagraph"/>
              <w:numPr>
                <w:ilvl w:val="0"/>
                <w:numId w:val="2"/>
              </w:numPr>
              <w:spacing w:line="372" w:lineRule="exact"/>
              <w:jc w:val="center"/>
              <w:rPr>
                <w:rFonts w:ascii="Calibri" w:eastAsia="Calibri" w:hAnsi="Calibri" w:cs="Calibri"/>
                <w:b/>
                <w:sz w:val="32"/>
                <w:szCs w:val="20"/>
              </w:rPr>
            </w:pPr>
            <w:r>
              <w:rPr>
                <w:rFonts w:ascii="Calibri" w:eastAsia="Calibri" w:hAnsi="Calibri" w:cs="Calibri"/>
                <w:b/>
                <w:sz w:val="32"/>
                <w:szCs w:val="20"/>
              </w:rPr>
              <w:t>Introduction</w:t>
            </w:r>
          </w:p>
        </w:tc>
      </w:tr>
    </w:tbl>
    <w:p w:rsidR="00951247" w:rsidRDefault="00951247" w:rsidP="00951247">
      <w:pPr>
        <w:spacing w:before="9"/>
        <w:rPr>
          <w:rFonts w:ascii="Calibri" w:eastAsia="Calibri" w:hAnsi="Calibri" w:cs="Calibri"/>
          <w:b/>
          <w:bCs/>
          <w:sz w:val="16"/>
          <w:szCs w:val="16"/>
        </w:rPr>
      </w:pPr>
    </w:p>
    <w:p w:rsidR="00951247" w:rsidRDefault="00951247" w:rsidP="00951247">
      <w:pPr>
        <w:pStyle w:val="BodyText"/>
        <w:spacing w:before="56"/>
        <w:ind w:left="480" w:right="134" w:firstLine="0"/>
      </w:pPr>
      <w:r>
        <w:t>The</w:t>
      </w:r>
      <w:r>
        <w:rPr>
          <w:spacing w:val="-1"/>
        </w:rPr>
        <w:t xml:space="preserve"> </w:t>
      </w:r>
      <w:r>
        <w:t>City</w:t>
      </w:r>
      <w:r>
        <w:rPr>
          <w:spacing w:val="-3"/>
        </w:rPr>
        <w:t xml:space="preserve"> </w:t>
      </w:r>
      <w:r>
        <w:t>of</w:t>
      </w:r>
      <w:r>
        <w:rPr>
          <w:spacing w:val="-2"/>
        </w:rPr>
        <w:t xml:space="preserve"> </w:t>
      </w:r>
      <w:r>
        <w:t>Seattle</w:t>
      </w:r>
      <w:r>
        <w:rPr>
          <w:spacing w:val="-1"/>
        </w:rPr>
        <w:t xml:space="preserve"> </w:t>
      </w:r>
      <w:r>
        <w:t>Human</w:t>
      </w:r>
      <w:r>
        <w:rPr>
          <w:spacing w:val="-5"/>
        </w:rPr>
        <w:t xml:space="preserve"> </w:t>
      </w:r>
      <w:r>
        <w:t>Services</w:t>
      </w:r>
      <w:r>
        <w:rPr>
          <w:spacing w:val="-4"/>
        </w:rPr>
        <w:t xml:space="preserve"> </w:t>
      </w:r>
      <w:r>
        <w:t>Department</w:t>
      </w:r>
      <w:r>
        <w:rPr>
          <w:spacing w:val="-4"/>
        </w:rPr>
        <w:t xml:space="preserve"> </w:t>
      </w:r>
      <w:r>
        <w:t>(HSD)</w:t>
      </w:r>
      <w:r>
        <w:rPr>
          <w:spacing w:val="-4"/>
        </w:rPr>
        <w:t xml:space="preserve"> </w:t>
      </w:r>
      <w:r>
        <w:t>is</w:t>
      </w:r>
      <w:r>
        <w:rPr>
          <w:spacing w:val="-2"/>
        </w:rPr>
        <w:t xml:space="preserve"> </w:t>
      </w:r>
      <w:r>
        <w:t>pleased</w:t>
      </w:r>
      <w:r>
        <w:rPr>
          <w:spacing w:val="-5"/>
        </w:rPr>
        <w:t xml:space="preserve"> </w:t>
      </w:r>
      <w:r>
        <w:t>to</w:t>
      </w:r>
      <w:r>
        <w:rPr>
          <w:spacing w:val="-1"/>
        </w:rPr>
        <w:t xml:space="preserve"> </w:t>
      </w:r>
      <w:r>
        <w:t>issue</w:t>
      </w:r>
      <w:r>
        <w:rPr>
          <w:spacing w:val="-3"/>
        </w:rPr>
        <w:t xml:space="preserve"> </w:t>
      </w:r>
      <w:r>
        <w:t>its</w:t>
      </w:r>
      <w:r>
        <w:rPr>
          <w:spacing w:val="-4"/>
        </w:rPr>
        <w:t xml:space="preserve"> </w:t>
      </w:r>
      <w:r>
        <w:t>2016</w:t>
      </w:r>
      <w:r>
        <w:rPr>
          <w:spacing w:val="-3"/>
        </w:rPr>
        <w:t xml:space="preserve"> </w:t>
      </w:r>
      <w:r>
        <w:t>Notice</w:t>
      </w:r>
      <w:r>
        <w:rPr>
          <w:spacing w:val="-4"/>
        </w:rPr>
        <w:t xml:space="preserve"> </w:t>
      </w:r>
      <w:r>
        <w:t>of</w:t>
      </w:r>
      <w:r>
        <w:rPr>
          <w:spacing w:val="-2"/>
        </w:rPr>
        <w:t xml:space="preserve"> </w:t>
      </w:r>
      <w:r>
        <w:t>Funding</w:t>
      </w:r>
      <w:r>
        <w:rPr>
          <w:spacing w:val="-3"/>
        </w:rPr>
        <w:t xml:space="preserve"> </w:t>
      </w:r>
      <w:r>
        <w:t>Availability (NOFA) related to the following</w:t>
      </w:r>
      <w:r>
        <w:rPr>
          <w:spacing w:val="-17"/>
        </w:rPr>
        <w:t xml:space="preserve"> </w:t>
      </w:r>
      <w:r>
        <w:t>investments:</w:t>
      </w:r>
    </w:p>
    <w:p w:rsidR="00951247" w:rsidRDefault="00951247" w:rsidP="00951247">
      <w:pPr>
        <w:spacing w:before="11"/>
        <w:rPr>
          <w:rFonts w:ascii="Calibri" w:eastAsia="Calibri" w:hAnsi="Calibri" w:cs="Calibri"/>
          <w:sz w:val="21"/>
          <w:szCs w:val="21"/>
        </w:rPr>
      </w:pPr>
    </w:p>
    <w:p w:rsidR="00951247" w:rsidRPr="000D64F3" w:rsidRDefault="007C4CD3" w:rsidP="00951247">
      <w:pPr>
        <w:pStyle w:val="ListParagraph"/>
        <w:numPr>
          <w:ilvl w:val="0"/>
          <w:numId w:val="1"/>
        </w:numPr>
        <w:tabs>
          <w:tab w:val="left" w:pos="1560"/>
        </w:tabs>
        <w:spacing w:before="129"/>
        <w:ind w:right="134"/>
        <w:rPr>
          <w:rFonts w:ascii="Calibri" w:eastAsia="Calibri" w:hAnsi="Calibri" w:cs="Calibri"/>
          <w:sz w:val="24"/>
          <w:szCs w:val="24"/>
        </w:rPr>
      </w:pPr>
      <w:r>
        <w:rPr>
          <w:rFonts w:ascii="Calibri"/>
          <w:b/>
          <w:u w:val="single" w:color="000000"/>
        </w:rPr>
        <w:t>Medicaid Case Management</w:t>
      </w:r>
    </w:p>
    <w:p w:rsidR="000D64F3" w:rsidRPr="000D64F3" w:rsidRDefault="000D64F3" w:rsidP="00951247">
      <w:pPr>
        <w:pStyle w:val="ListParagraph"/>
        <w:numPr>
          <w:ilvl w:val="0"/>
          <w:numId w:val="1"/>
        </w:numPr>
        <w:tabs>
          <w:tab w:val="left" w:pos="1560"/>
        </w:tabs>
        <w:spacing w:before="129"/>
        <w:ind w:right="134"/>
        <w:rPr>
          <w:rFonts w:ascii="Calibri"/>
          <w:b/>
          <w:u w:val="single" w:color="000000"/>
        </w:rPr>
      </w:pPr>
      <w:r w:rsidRPr="000D64F3">
        <w:rPr>
          <w:rFonts w:ascii="Calibri"/>
          <w:b/>
          <w:u w:val="single" w:color="000000"/>
        </w:rPr>
        <w:t>Community Health Care Facilities</w:t>
      </w:r>
    </w:p>
    <w:p w:rsidR="00951247" w:rsidRDefault="00951247" w:rsidP="00951247">
      <w:pPr>
        <w:pStyle w:val="ListParagraph"/>
        <w:numPr>
          <w:ilvl w:val="0"/>
          <w:numId w:val="1"/>
        </w:numPr>
        <w:tabs>
          <w:tab w:val="left" w:pos="1560"/>
        </w:tabs>
        <w:spacing w:before="129"/>
        <w:ind w:right="134"/>
        <w:rPr>
          <w:rFonts w:ascii="Calibri" w:eastAsia="Calibri" w:hAnsi="Calibri" w:cs="Calibri"/>
          <w:sz w:val="24"/>
          <w:szCs w:val="24"/>
        </w:rPr>
      </w:pPr>
      <w:r>
        <w:rPr>
          <w:rFonts w:ascii="Calibri"/>
          <w:b/>
          <w:u w:val="single" w:color="000000"/>
        </w:rPr>
        <w:t>Youth Mental Health</w:t>
      </w:r>
    </w:p>
    <w:p w:rsidR="00B709D0" w:rsidRPr="00B709D0" w:rsidRDefault="00951247" w:rsidP="00B709D0">
      <w:pPr>
        <w:pStyle w:val="ListParagraph"/>
        <w:numPr>
          <w:ilvl w:val="0"/>
          <w:numId w:val="1"/>
        </w:numPr>
        <w:tabs>
          <w:tab w:val="left" w:pos="1561"/>
        </w:tabs>
        <w:spacing w:before="129"/>
        <w:ind w:right="134"/>
        <w:rPr>
          <w:rFonts w:ascii="Calibri"/>
          <w:b/>
          <w:u w:val="single" w:color="000000"/>
        </w:rPr>
      </w:pPr>
      <w:r>
        <w:rPr>
          <w:rFonts w:ascii="Calibri"/>
          <w:b/>
          <w:u w:val="single" w:color="000000"/>
        </w:rPr>
        <w:t>Youth Development</w:t>
      </w:r>
      <w:r w:rsidR="000D64F3">
        <w:rPr>
          <w:rFonts w:ascii="Calibri"/>
          <w:b/>
          <w:u w:val="single" w:color="000000"/>
        </w:rPr>
        <w:t xml:space="preserve"> and Educational Support</w:t>
      </w:r>
    </w:p>
    <w:p w:rsidR="00951247" w:rsidRDefault="00951247" w:rsidP="00B709D0">
      <w:pPr>
        <w:pStyle w:val="ListParagraph"/>
        <w:numPr>
          <w:ilvl w:val="0"/>
          <w:numId w:val="1"/>
        </w:numPr>
        <w:tabs>
          <w:tab w:val="left" w:pos="1561"/>
        </w:tabs>
        <w:spacing w:before="129"/>
        <w:ind w:right="134"/>
        <w:rPr>
          <w:rFonts w:ascii="Calibri"/>
          <w:b/>
          <w:u w:val="single" w:color="000000"/>
        </w:rPr>
      </w:pPr>
      <w:r>
        <w:rPr>
          <w:rFonts w:ascii="Calibri"/>
          <w:b/>
          <w:u w:val="single" w:color="000000"/>
        </w:rPr>
        <w:t>Senior Health Promotion</w:t>
      </w:r>
    </w:p>
    <w:p w:rsidR="00987B46" w:rsidRPr="00B709D0" w:rsidRDefault="00987B46" w:rsidP="00B709D0">
      <w:pPr>
        <w:pStyle w:val="ListParagraph"/>
        <w:numPr>
          <w:ilvl w:val="0"/>
          <w:numId w:val="1"/>
        </w:numPr>
        <w:tabs>
          <w:tab w:val="left" w:pos="1561"/>
        </w:tabs>
        <w:spacing w:before="129"/>
        <w:ind w:right="134"/>
        <w:rPr>
          <w:rFonts w:ascii="Calibri"/>
          <w:b/>
          <w:u w:val="single" w:color="000000"/>
        </w:rPr>
      </w:pPr>
      <w:r>
        <w:rPr>
          <w:rFonts w:ascii="Calibri"/>
          <w:b/>
          <w:u w:val="single" w:color="000000"/>
        </w:rPr>
        <w:t>Seattle Navigation Center</w:t>
      </w:r>
    </w:p>
    <w:p w:rsidR="00951247" w:rsidRDefault="00951247" w:rsidP="00951247">
      <w:pPr>
        <w:pStyle w:val="BodyText"/>
        <w:spacing w:before="56"/>
        <w:ind w:left="479" w:right="476" w:firstLine="0"/>
        <w:jc w:val="both"/>
      </w:pPr>
    </w:p>
    <w:p w:rsidR="00951247" w:rsidRDefault="00951247" w:rsidP="00951247">
      <w:pPr>
        <w:pStyle w:val="BodyText"/>
        <w:spacing w:before="56"/>
        <w:ind w:left="479" w:right="476" w:firstLine="0"/>
        <w:jc w:val="both"/>
      </w:pPr>
      <w:r>
        <w:t>This</w:t>
      </w:r>
      <w:r>
        <w:rPr>
          <w:spacing w:val="24"/>
        </w:rPr>
        <w:t xml:space="preserve"> </w:t>
      </w:r>
      <w:r>
        <w:t>notice</w:t>
      </w:r>
      <w:r>
        <w:rPr>
          <w:spacing w:val="25"/>
        </w:rPr>
        <w:t xml:space="preserve"> </w:t>
      </w:r>
      <w:r>
        <w:t>provides</w:t>
      </w:r>
      <w:r>
        <w:rPr>
          <w:spacing w:val="24"/>
        </w:rPr>
        <w:t xml:space="preserve"> </w:t>
      </w:r>
      <w:r>
        <w:t>an</w:t>
      </w:r>
      <w:r>
        <w:rPr>
          <w:spacing w:val="21"/>
        </w:rPr>
        <w:t xml:space="preserve"> </w:t>
      </w:r>
      <w:r>
        <w:t>overview</w:t>
      </w:r>
      <w:r>
        <w:rPr>
          <w:spacing w:val="22"/>
        </w:rPr>
        <w:t xml:space="preserve"> </w:t>
      </w:r>
      <w:r>
        <w:t>of</w:t>
      </w:r>
      <w:r>
        <w:rPr>
          <w:spacing w:val="24"/>
        </w:rPr>
        <w:t xml:space="preserve"> </w:t>
      </w:r>
      <w:r>
        <w:t>HSD’s</w:t>
      </w:r>
      <w:r>
        <w:rPr>
          <w:spacing w:val="24"/>
        </w:rPr>
        <w:t xml:space="preserve"> </w:t>
      </w:r>
      <w:r>
        <w:t>impending</w:t>
      </w:r>
      <w:r>
        <w:rPr>
          <w:spacing w:val="23"/>
        </w:rPr>
        <w:t xml:space="preserve"> </w:t>
      </w:r>
      <w:r>
        <w:t>funding</w:t>
      </w:r>
      <w:r>
        <w:rPr>
          <w:spacing w:val="23"/>
        </w:rPr>
        <w:t xml:space="preserve"> </w:t>
      </w:r>
      <w:r>
        <w:t>opportunities</w:t>
      </w:r>
      <w:r>
        <w:rPr>
          <w:spacing w:val="22"/>
        </w:rPr>
        <w:t xml:space="preserve"> </w:t>
      </w:r>
      <w:r>
        <w:t>for</w:t>
      </w:r>
      <w:r>
        <w:rPr>
          <w:spacing w:val="24"/>
        </w:rPr>
        <w:t xml:space="preserve"> </w:t>
      </w:r>
      <w:r>
        <w:t>2016,</w:t>
      </w:r>
      <w:r>
        <w:rPr>
          <w:spacing w:val="24"/>
        </w:rPr>
        <w:t xml:space="preserve"> </w:t>
      </w:r>
      <w:r>
        <w:t>with</w:t>
      </w:r>
      <w:r>
        <w:rPr>
          <w:spacing w:val="23"/>
        </w:rPr>
        <w:t xml:space="preserve"> </w:t>
      </w:r>
      <w:r>
        <w:t>an</w:t>
      </w:r>
      <w:r>
        <w:rPr>
          <w:spacing w:val="23"/>
        </w:rPr>
        <w:t xml:space="preserve"> </w:t>
      </w:r>
      <w:r>
        <w:t>abstract</w:t>
      </w:r>
      <w:r>
        <w:rPr>
          <w:spacing w:val="22"/>
        </w:rPr>
        <w:t xml:space="preserve"> </w:t>
      </w:r>
      <w:r>
        <w:t>of</w:t>
      </w:r>
      <w:r>
        <w:rPr>
          <w:spacing w:val="24"/>
        </w:rPr>
        <w:t xml:space="preserve"> </w:t>
      </w:r>
      <w:r>
        <w:t>the service</w:t>
      </w:r>
      <w:r>
        <w:rPr>
          <w:spacing w:val="16"/>
        </w:rPr>
        <w:t xml:space="preserve"> </w:t>
      </w:r>
      <w:r>
        <w:t>areas</w:t>
      </w:r>
      <w:r>
        <w:rPr>
          <w:spacing w:val="15"/>
        </w:rPr>
        <w:t xml:space="preserve"> </w:t>
      </w:r>
      <w:r>
        <w:t>for</w:t>
      </w:r>
      <w:r>
        <w:rPr>
          <w:spacing w:val="12"/>
        </w:rPr>
        <w:t xml:space="preserve"> </w:t>
      </w:r>
      <w:r>
        <w:t>each</w:t>
      </w:r>
      <w:r>
        <w:rPr>
          <w:spacing w:val="12"/>
        </w:rPr>
        <w:t xml:space="preserve"> </w:t>
      </w:r>
      <w:r>
        <w:t>opportunity,</w:t>
      </w:r>
      <w:r>
        <w:rPr>
          <w:spacing w:val="15"/>
        </w:rPr>
        <w:t xml:space="preserve"> </w:t>
      </w:r>
      <w:r>
        <w:t>anticipated</w:t>
      </w:r>
      <w:r>
        <w:rPr>
          <w:spacing w:val="14"/>
        </w:rPr>
        <w:t xml:space="preserve"> </w:t>
      </w:r>
      <w:r>
        <w:t>funding</w:t>
      </w:r>
      <w:r>
        <w:rPr>
          <w:spacing w:val="14"/>
        </w:rPr>
        <w:t xml:space="preserve"> </w:t>
      </w:r>
      <w:r>
        <w:t>amounts,</w:t>
      </w:r>
      <w:r>
        <w:rPr>
          <w:spacing w:val="15"/>
        </w:rPr>
        <w:t xml:space="preserve"> </w:t>
      </w:r>
      <w:r>
        <w:t>release</w:t>
      </w:r>
      <w:r>
        <w:rPr>
          <w:spacing w:val="13"/>
        </w:rPr>
        <w:t xml:space="preserve"> </w:t>
      </w:r>
      <w:r>
        <w:t>dates,</w:t>
      </w:r>
      <w:r>
        <w:rPr>
          <w:spacing w:val="13"/>
        </w:rPr>
        <w:t xml:space="preserve"> </w:t>
      </w:r>
      <w:r>
        <w:t>and</w:t>
      </w:r>
      <w:r>
        <w:rPr>
          <w:spacing w:val="14"/>
        </w:rPr>
        <w:t xml:space="preserve"> </w:t>
      </w:r>
      <w:r>
        <w:t>contract</w:t>
      </w:r>
      <w:r>
        <w:rPr>
          <w:spacing w:val="13"/>
        </w:rPr>
        <w:t xml:space="preserve"> </w:t>
      </w:r>
      <w:r>
        <w:t>start</w:t>
      </w:r>
      <w:r>
        <w:rPr>
          <w:spacing w:val="13"/>
        </w:rPr>
        <w:t xml:space="preserve"> </w:t>
      </w:r>
      <w:r>
        <w:t>dates.</w:t>
      </w:r>
      <w:r>
        <w:rPr>
          <w:spacing w:val="12"/>
        </w:rPr>
        <w:t xml:space="preserve"> </w:t>
      </w:r>
      <w:r>
        <w:t>Once</w:t>
      </w:r>
      <w:r>
        <w:rPr>
          <w:spacing w:val="-3"/>
        </w:rPr>
        <w:t xml:space="preserve"> </w:t>
      </w:r>
      <w:r>
        <w:t>finalized,</w:t>
      </w:r>
      <w:r>
        <w:rPr>
          <w:spacing w:val="-3"/>
        </w:rPr>
        <w:t xml:space="preserve"> </w:t>
      </w:r>
      <w:r>
        <w:t>HSD</w:t>
      </w:r>
      <w:r>
        <w:rPr>
          <w:spacing w:val="-2"/>
        </w:rPr>
        <w:t xml:space="preserve"> </w:t>
      </w:r>
      <w:r>
        <w:t>will</w:t>
      </w:r>
      <w:r>
        <w:rPr>
          <w:spacing w:val="-6"/>
        </w:rPr>
        <w:t xml:space="preserve"> </w:t>
      </w:r>
      <w:r>
        <w:t>issue</w:t>
      </w:r>
      <w:r>
        <w:rPr>
          <w:spacing w:val="-2"/>
        </w:rPr>
        <w:t xml:space="preserve"> </w:t>
      </w:r>
      <w:r>
        <w:t>individual,</w:t>
      </w:r>
      <w:r>
        <w:rPr>
          <w:spacing w:val="-3"/>
        </w:rPr>
        <w:t xml:space="preserve"> </w:t>
      </w:r>
      <w:r>
        <w:t>detailed</w:t>
      </w:r>
      <w:r>
        <w:rPr>
          <w:spacing w:val="-4"/>
        </w:rPr>
        <w:t xml:space="preserve"> </w:t>
      </w:r>
      <w:r>
        <w:t>funding</w:t>
      </w:r>
      <w:r>
        <w:rPr>
          <w:spacing w:val="-4"/>
        </w:rPr>
        <w:t xml:space="preserve"> </w:t>
      </w:r>
      <w:r>
        <w:t>opportunities</w:t>
      </w:r>
      <w:r>
        <w:rPr>
          <w:spacing w:val="-4"/>
        </w:rPr>
        <w:t xml:space="preserve"> </w:t>
      </w:r>
      <w:r>
        <w:t>for</w:t>
      </w:r>
      <w:r>
        <w:rPr>
          <w:spacing w:val="-5"/>
        </w:rPr>
        <w:t xml:space="preserve"> </w:t>
      </w:r>
      <w:r>
        <w:t>each</w:t>
      </w:r>
      <w:r>
        <w:rPr>
          <w:spacing w:val="-4"/>
        </w:rPr>
        <w:t xml:space="preserve"> </w:t>
      </w:r>
      <w:r>
        <w:t>investment</w:t>
      </w:r>
      <w:r>
        <w:rPr>
          <w:spacing w:val="-5"/>
        </w:rPr>
        <w:t xml:space="preserve"> </w:t>
      </w:r>
      <w:r>
        <w:t>area.</w:t>
      </w:r>
    </w:p>
    <w:p w:rsidR="00951247" w:rsidRDefault="00951247" w:rsidP="00951247">
      <w:pPr>
        <w:spacing w:before="10"/>
        <w:rPr>
          <w:rFonts w:ascii="Calibri" w:eastAsia="Calibri" w:hAnsi="Calibri" w:cs="Calibri"/>
          <w:sz w:val="21"/>
          <w:szCs w:val="21"/>
        </w:rPr>
      </w:pPr>
    </w:p>
    <w:p w:rsidR="00951247" w:rsidRDefault="00951247" w:rsidP="00951247">
      <w:pPr>
        <w:pStyle w:val="BodyText"/>
        <w:spacing w:before="0"/>
        <w:ind w:left="479" w:right="475" w:firstLine="0"/>
        <w:jc w:val="both"/>
      </w:pPr>
      <w:r>
        <w:t>Through all of our funding processes, HSD invests in services that meet the basic needs of our community’s</w:t>
      </w:r>
      <w:r>
        <w:rPr>
          <w:spacing w:val="-10"/>
        </w:rPr>
        <w:t xml:space="preserve"> </w:t>
      </w:r>
      <w:r>
        <w:t>most vulnerable residents and that help people become and remain independent. Guided by HSD’s Theory of</w:t>
      </w:r>
      <w:r>
        <w:rPr>
          <w:spacing w:val="-31"/>
        </w:rPr>
        <w:t xml:space="preserve"> </w:t>
      </w:r>
      <w:r>
        <w:t>Change, funding</w:t>
      </w:r>
      <w:r>
        <w:rPr>
          <w:spacing w:val="14"/>
        </w:rPr>
        <w:t xml:space="preserve"> </w:t>
      </w:r>
      <w:r>
        <w:t>processes</w:t>
      </w:r>
      <w:r>
        <w:rPr>
          <w:spacing w:val="13"/>
        </w:rPr>
        <w:t xml:space="preserve"> i</w:t>
      </w:r>
      <w:r>
        <w:t>nclude</w:t>
      </w:r>
      <w:r>
        <w:rPr>
          <w:spacing w:val="16"/>
        </w:rPr>
        <w:t xml:space="preserve"> </w:t>
      </w:r>
      <w:r>
        <w:t>both</w:t>
      </w:r>
      <w:r>
        <w:rPr>
          <w:spacing w:val="14"/>
        </w:rPr>
        <w:t xml:space="preserve"> </w:t>
      </w:r>
      <w:r>
        <w:t>population</w:t>
      </w:r>
      <w:r>
        <w:rPr>
          <w:spacing w:val="14"/>
        </w:rPr>
        <w:t xml:space="preserve"> </w:t>
      </w:r>
      <w:r>
        <w:t>level</w:t>
      </w:r>
      <w:r>
        <w:rPr>
          <w:spacing w:val="12"/>
        </w:rPr>
        <w:t xml:space="preserve"> </w:t>
      </w:r>
      <w:r>
        <w:t>and</w:t>
      </w:r>
      <w:r>
        <w:rPr>
          <w:spacing w:val="14"/>
        </w:rPr>
        <w:t xml:space="preserve"> </w:t>
      </w:r>
      <w:r>
        <w:t>racial</w:t>
      </w:r>
      <w:r>
        <w:rPr>
          <w:spacing w:val="15"/>
        </w:rPr>
        <w:t xml:space="preserve"> </w:t>
      </w:r>
      <w:r>
        <w:t>disparity</w:t>
      </w:r>
      <w:r>
        <w:rPr>
          <w:spacing w:val="13"/>
        </w:rPr>
        <w:t xml:space="preserve"> </w:t>
      </w:r>
      <w:r>
        <w:t>data,</w:t>
      </w:r>
      <w:r>
        <w:rPr>
          <w:spacing w:val="15"/>
        </w:rPr>
        <w:t xml:space="preserve"> </w:t>
      </w:r>
      <w:r>
        <w:t>and</w:t>
      </w:r>
      <w:r>
        <w:rPr>
          <w:spacing w:val="14"/>
        </w:rPr>
        <w:t xml:space="preserve"> </w:t>
      </w:r>
      <w:r>
        <w:t>will</w:t>
      </w:r>
      <w:r>
        <w:rPr>
          <w:spacing w:val="13"/>
        </w:rPr>
        <w:t xml:space="preserve"> </w:t>
      </w:r>
      <w:r>
        <w:t>outline</w:t>
      </w:r>
      <w:r>
        <w:rPr>
          <w:spacing w:val="15"/>
        </w:rPr>
        <w:t xml:space="preserve"> </w:t>
      </w:r>
      <w:r>
        <w:t>the</w:t>
      </w:r>
      <w:r>
        <w:rPr>
          <w:spacing w:val="11"/>
        </w:rPr>
        <w:t xml:space="preserve"> </w:t>
      </w:r>
      <w:r>
        <w:t>desired results that applicants will need to address in all</w:t>
      </w:r>
      <w:r>
        <w:rPr>
          <w:spacing w:val="-17"/>
        </w:rPr>
        <w:t xml:space="preserve"> </w:t>
      </w:r>
      <w:r>
        <w:t>proposals.</w:t>
      </w:r>
    </w:p>
    <w:p w:rsidR="00951247" w:rsidRDefault="00951247" w:rsidP="00951247">
      <w:pPr>
        <w:rPr>
          <w:rFonts w:ascii="Calibri" w:eastAsia="Calibri" w:hAnsi="Calibri" w:cs="Calibri"/>
        </w:rPr>
      </w:pPr>
    </w:p>
    <w:p w:rsidR="00951247" w:rsidRDefault="00951247" w:rsidP="00951247">
      <w:pPr>
        <w:pStyle w:val="BodyText"/>
        <w:spacing w:before="0"/>
        <w:ind w:left="479" w:right="475" w:firstLine="0"/>
        <w:jc w:val="both"/>
      </w:pPr>
      <w:r>
        <w:t>This</w:t>
      </w:r>
      <w:r>
        <w:rPr>
          <w:spacing w:val="21"/>
        </w:rPr>
        <w:t xml:space="preserve"> </w:t>
      </w:r>
      <w:r>
        <w:t>notice</w:t>
      </w:r>
      <w:r>
        <w:rPr>
          <w:spacing w:val="20"/>
        </w:rPr>
        <w:t xml:space="preserve"> </w:t>
      </w:r>
      <w:r>
        <w:t>also</w:t>
      </w:r>
      <w:r>
        <w:rPr>
          <w:spacing w:val="21"/>
        </w:rPr>
        <w:t xml:space="preserve"> </w:t>
      </w:r>
      <w:r>
        <w:t>directs</w:t>
      </w:r>
      <w:r>
        <w:rPr>
          <w:spacing w:val="21"/>
        </w:rPr>
        <w:t xml:space="preserve"> </w:t>
      </w:r>
      <w:r>
        <w:t>potential</w:t>
      </w:r>
      <w:r>
        <w:rPr>
          <w:spacing w:val="21"/>
        </w:rPr>
        <w:t xml:space="preserve"> </w:t>
      </w:r>
      <w:r>
        <w:t>applicants</w:t>
      </w:r>
      <w:r>
        <w:rPr>
          <w:spacing w:val="20"/>
        </w:rPr>
        <w:t xml:space="preserve"> </w:t>
      </w:r>
      <w:r>
        <w:t>to</w:t>
      </w:r>
      <w:r>
        <w:rPr>
          <w:spacing w:val="23"/>
        </w:rPr>
        <w:t xml:space="preserve"> </w:t>
      </w:r>
      <w:r>
        <w:t>resources</w:t>
      </w:r>
      <w:r>
        <w:rPr>
          <w:spacing w:val="21"/>
        </w:rPr>
        <w:t xml:space="preserve"> </w:t>
      </w:r>
      <w:r>
        <w:t>to</w:t>
      </w:r>
      <w:r>
        <w:rPr>
          <w:spacing w:val="21"/>
        </w:rPr>
        <w:t xml:space="preserve"> </w:t>
      </w:r>
      <w:r>
        <w:t>learn</w:t>
      </w:r>
      <w:r>
        <w:rPr>
          <w:spacing w:val="19"/>
        </w:rPr>
        <w:t xml:space="preserve"> </w:t>
      </w:r>
      <w:r>
        <w:t>more</w:t>
      </w:r>
      <w:r>
        <w:rPr>
          <w:spacing w:val="20"/>
        </w:rPr>
        <w:t xml:space="preserve"> </w:t>
      </w:r>
      <w:r>
        <w:t>about</w:t>
      </w:r>
      <w:r>
        <w:rPr>
          <w:spacing w:val="18"/>
        </w:rPr>
        <w:t xml:space="preserve"> </w:t>
      </w:r>
      <w:r>
        <w:t>HSD’s</w:t>
      </w:r>
      <w:r>
        <w:rPr>
          <w:spacing w:val="21"/>
        </w:rPr>
        <w:t xml:space="preserve"> </w:t>
      </w:r>
      <w:r>
        <w:t>investment</w:t>
      </w:r>
      <w:r>
        <w:rPr>
          <w:spacing w:val="22"/>
        </w:rPr>
        <w:t xml:space="preserve"> </w:t>
      </w:r>
      <w:r>
        <w:t>priorities</w:t>
      </w:r>
      <w:r>
        <w:rPr>
          <w:spacing w:val="21"/>
        </w:rPr>
        <w:t xml:space="preserve"> </w:t>
      </w:r>
      <w:r>
        <w:t>and standard application requirements. Each funding opportunity, when released, will provide additional</w:t>
      </w:r>
      <w:r>
        <w:rPr>
          <w:spacing w:val="27"/>
        </w:rPr>
        <w:t xml:space="preserve"> </w:t>
      </w:r>
      <w:r>
        <w:t>detailed information specific to the service areas outlined in this</w:t>
      </w:r>
      <w:r>
        <w:rPr>
          <w:spacing w:val="-22"/>
        </w:rPr>
        <w:t xml:space="preserve"> </w:t>
      </w:r>
      <w:r>
        <w:t>document.</w:t>
      </w:r>
    </w:p>
    <w:p w:rsidR="00951247" w:rsidRDefault="00951247" w:rsidP="00951247">
      <w:pPr>
        <w:rPr>
          <w:rFonts w:ascii="Calibri" w:eastAsia="Calibri" w:hAnsi="Calibri" w:cs="Calibri"/>
        </w:rPr>
      </w:pPr>
    </w:p>
    <w:p w:rsidR="00951247" w:rsidRDefault="00951247" w:rsidP="00951247">
      <w:pPr>
        <w:pStyle w:val="BodyText"/>
        <w:spacing w:before="0"/>
        <w:ind w:left="479" w:right="477" w:hanging="1"/>
        <w:jc w:val="both"/>
      </w:pPr>
      <w:r>
        <w:t>In</w:t>
      </w:r>
      <w:r>
        <w:rPr>
          <w:spacing w:val="36"/>
        </w:rPr>
        <w:t xml:space="preserve"> </w:t>
      </w:r>
      <w:r>
        <w:t>the</w:t>
      </w:r>
      <w:r>
        <w:rPr>
          <w:spacing w:val="37"/>
        </w:rPr>
        <w:t xml:space="preserve"> </w:t>
      </w:r>
      <w:r>
        <w:t>event</w:t>
      </w:r>
      <w:r>
        <w:rPr>
          <w:spacing w:val="35"/>
        </w:rPr>
        <w:t xml:space="preserve"> </w:t>
      </w:r>
      <w:r>
        <w:t>of</w:t>
      </w:r>
      <w:r>
        <w:rPr>
          <w:spacing w:val="37"/>
        </w:rPr>
        <w:t xml:space="preserve"> </w:t>
      </w:r>
      <w:r>
        <w:t>budget</w:t>
      </w:r>
      <w:r>
        <w:rPr>
          <w:spacing w:val="37"/>
        </w:rPr>
        <w:t xml:space="preserve"> </w:t>
      </w:r>
      <w:r>
        <w:t>additions</w:t>
      </w:r>
      <w:r>
        <w:rPr>
          <w:spacing w:val="37"/>
        </w:rPr>
        <w:t xml:space="preserve"> </w:t>
      </w:r>
      <w:r>
        <w:t>through</w:t>
      </w:r>
      <w:r>
        <w:rPr>
          <w:spacing w:val="34"/>
        </w:rPr>
        <w:t xml:space="preserve"> </w:t>
      </w:r>
      <w:r>
        <w:t>Mayoral</w:t>
      </w:r>
      <w:r>
        <w:rPr>
          <w:spacing w:val="34"/>
        </w:rPr>
        <w:t xml:space="preserve"> </w:t>
      </w:r>
      <w:r>
        <w:t>or</w:t>
      </w:r>
      <w:r>
        <w:rPr>
          <w:spacing w:val="37"/>
        </w:rPr>
        <w:t xml:space="preserve"> </w:t>
      </w:r>
      <w:r>
        <w:t>City</w:t>
      </w:r>
      <w:r>
        <w:rPr>
          <w:spacing w:val="38"/>
        </w:rPr>
        <w:t xml:space="preserve"> </w:t>
      </w:r>
      <w:r>
        <w:t>Council</w:t>
      </w:r>
      <w:r>
        <w:rPr>
          <w:spacing w:val="37"/>
        </w:rPr>
        <w:t xml:space="preserve"> </w:t>
      </w:r>
      <w:r>
        <w:t>budget</w:t>
      </w:r>
      <w:r>
        <w:rPr>
          <w:spacing w:val="37"/>
        </w:rPr>
        <w:t xml:space="preserve"> </w:t>
      </w:r>
      <w:r>
        <w:t>appropriations,</w:t>
      </w:r>
      <w:r>
        <w:rPr>
          <w:spacing w:val="35"/>
        </w:rPr>
        <w:t xml:space="preserve"> </w:t>
      </w:r>
      <w:r>
        <w:t>HSD</w:t>
      </w:r>
      <w:r>
        <w:rPr>
          <w:spacing w:val="35"/>
        </w:rPr>
        <w:t xml:space="preserve"> </w:t>
      </w:r>
      <w:r>
        <w:t>may</w:t>
      </w:r>
      <w:r>
        <w:rPr>
          <w:spacing w:val="35"/>
        </w:rPr>
        <w:t xml:space="preserve"> </w:t>
      </w:r>
      <w:r>
        <w:t>elect</w:t>
      </w:r>
      <w:r>
        <w:rPr>
          <w:spacing w:val="37"/>
        </w:rPr>
        <w:t xml:space="preserve"> </w:t>
      </w:r>
      <w:r>
        <w:t>to modify existing contracts until such contracts require a new funding process, or HSD may develop a new</w:t>
      </w:r>
      <w:r>
        <w:rPr>
          <w:spacing w:val="11"/>
        </w:rPr>
        <w:t xml:space="preserve"> </w:t>
      </w:r>
      <w:r>
        <w:t xml:space="preserve">funding opportunity to expend the additional funds. </w:t>
      </w:r>
      <w:r w:rsidR="008B187D">
        <w:t xml:space="preserve">Parties </w:t>
      </w:r>
      <w:r>
        <w:t>interested in applying for HSD</w:t>
      </w:r>
      <w:r>
        <w:rPr>
          <w:spacing w:val="18"/>
        </w:rPr>
        <w:t xml:space="preserve"> </w:t>
      </w:r>
      <w:r>
        <w:t>funds</w:t>
      </w:r>
      <w:r w:rsidR="008B187D">
        <w:t xml:space="preserve"> should</w:t>
      </w:r>
      <w:r>
        <w:t xml:space="preserve"> </w:t>
      </w:r>
      <w:r w:rsidR="008B187D">
        <w:t xml:space="preserve">monitor </w:t>
      </w:r>
      <w:r>
        <w:t xml:space="preserve">the Department’s </w:t>
      </w:r>
      <w:hyperlink r:id="rId9" w:history="1">
        <w:r w:rsidR="008B187D" w:rsidRPr="008B187D">
          <w:rPr>
            <w:rStyle w:val="Hyperlink"/>
          </w:rPr>
          <w:t>website</w:t>
        </w:r>
      </w:hyperlink>
      <w:r w:rsidR="008B187D" w:rsidRPr="008B187D">
        <w:t xml:space="preserve"> r</w:t>
      </w:r>
      <w:r w:rsidRPr="008B187D">
        <w:t>egularly.</w:t>
      </w:r>
    </w:p>
    <w:p w:rsidR="00951247" w:rsidRDefault="00951247" w:rsidP="00951247">
      <w:pPr>
        <w:jc w:val="both"/>
      </w:pPr>
    </w:p>
    <w:p w:rsidR="00951247" w:rsidRDefault="00951247" w:rsidP="00951247">
      <w:pPr>
        <w:jc w:val="both"/>
      </w:pPr>
    </w:p>
    <w:p w:rsidR="00951247" w:rsidRDefault="00951247" w:rsidP="00951247">
      <w:pPr>
        <w:jc w:val="both"/>
        <w:sectPr w:rsidR="00951247" w:rsidSect="00951247">
          <w:footerReference w:type="default" r:id="rId10"/>
          <w:pgSz w:w="12240" w:h="15840"/>
          <w:pgMar w:top="700" w:right="600" w:bottom="1240" w:left="600" w:header="720" w:footer="1052" w:gutter="0"/>
          <w:pgNumType w:start="1"/>
          <w:cols w:space="720"/>
        </w:sectPr>
      </w:pPr>
    </w:p>
    <w:tbl>
      <w:tblPr>
        <w:tblStyle w:val="TableGrid"/>
        <w:tblW w:w="10980" w:type="dxa"/>
        <w:tblInd w:w="-725" w:type="dxa"/>
        <w:shd w:val="clear" w:color="auto" w:fill="9CC2E5" w:themeFill="accent1" w:themeFillTint="99"/>
        <w:tblLook w:val="04A0" w:firstRow="1" w:lastRow="0" w:firstColumn="1" w:lastColumn="0" w:noHBand="0" w:noVBand="1"/>
      </w:tblPr>
      <w:tblGrid>
        <w:gridCol w:w="10980"/>
      </w:tblGrid>
      <w:tr w:rsidR="00951247" w:rsidTr="00951247">
        <w:tc>
          <w:tcPr>
            <w:tcW w:w="10980" w:type="dxa"/>
            <w:shd w:val="clear" w:color="auto" w:fill="9CC2E5" w:themeFill="accent1" w:themeFillTint="99"/>
          </w:tcPr>
          <w:p w:rsidR="00951247" w:rsidRPr="00951247" w:rsidRDefault="00951247" w:rsidP="00951247">
            <w:pPr>
              <w:pStyle w:val="ListParagraph"/>
              <w:numPr>
                <w:ilvl w:val="0"/>
                <w:numId w:val="2"/>
              </w:numPr>
              <w:jc w:val="center"/>
              <w:rPr>
                <w:b/>
                <w:sz w:val="32"/>
              </w:rPr>
            </w:pPr>
            <w:r>
              <w:rPr>
                <w:b/>
                <w:sz w:val="32"/>
              </w:rPr>
              <w:lastRenderedPageBreak/>
              <w:t>Upcoming 2016 Funding Opportunities</w:t>
            </w:r>
          </w:p>
        </w:tc>
      </w:tr>
    </w:tbl>
    <w:p w:rsidR="00076B40" w:rsidRDefault="00076B40"/>
    <w:tbl>
      <w:tblPr>
        <w:tblStyle w:val="TableGrid"/>
        <w:tblW w:w="10980" w:type="dxa"/>
        <w:tblInd w:w="-725" w:type="dxa"/>
        <w:tblLook w:val="04A0" w:firstRow="1" w:lastRow="0" w:firstColumn="1" w:lastColumn="0" w:noHBand="0" w:noVBand="1"/>
      </w:tblPr>
      <w:tblGrid>
        <w:gridCol w:w="4326"/>
        <w:gridCol w:w="1644"/>
        <w:gridCol w:w="1644"/>
        <w:gridCol w:w="1644"/>
        <w:gridCol w:w="1722"/>
      </w:tblGrid>
      <w:tr w:rsidR="00951247" w:rsidRPr="00951247" w:rsidTr="00987B46">
        <w:trPr>
          <w:tblHeader/>
        </w:trPr>
        <w:tc>
          <w:tcPr>
            <w:tcW w:w="4326" w:type="dxa"/>
            <w:shd w:val="clear" w:color="auto" w:fill="BFBFBF" w:themeFill="background1" w:themeFillShade="BF"/>
          </w:tcPr>
          <w:p w:rsidR="00951247" w:rsidRPr="00951247" w:rsidRDefault="00951247">
            <w:pPr>
              <w:rPr>
                <w:b/>
              </w:rPr>
            </w:pPr>
            <w:r w:rsidRPr="00951247">
              <w:rPr>
                <w:b/>
              </w:rPr>
              <w:t>Upcoming 2016 Funding Opportunities</w:t>
            </w:r>
          </w:p>
        </w:tc>
        <w:tc>
          <w:tcPr>
            <w:tcW w:w="1644" w:type="dxa"/>
            <w:shd w:val="clear" w:color="auto" w:fill="BFBFBF" w:themeFill="background1" w:themeFillShade="BF"/>
          </w:tcPr>
          <w:p w:rsidR="00951247" w:rsidRPr="00951247" w:rsidRDefault="00951247">
            <w:pPr>
              <w:rPr>
                <w:b/>
              </w:rPr>
            </w:pPr>
            <w:r>
              <w:rPr>
                <w:b/>
              </w:rPr>
              <w:t>Anticipated Funding Process Release</w:t>
            </w:r>
            <w:r w:rsidR="00F35B91">
              <w:rPr>
                <w:b/>
              </w:rPr>
              <w:t xml:space="preserve"> </w:t>
            </w:r>
            <w:r w:rsidR="00F35B91">
              <w:rPr>
                <w:rStyle w:val="FootnoteReference"/>
                <w:b/>
              </w:rPr>
              <w:footnoteReference w:id="1"/>
            </w:r>
          </w:p>
        </w:tc>
        <w:tc>
          <w:tcPr>
            <w:tcW w:w="1644" w:type="dxa"/>
            <w:shd w:val="clear" w:color="auto" w:fill="BFBFBF" w:themeFill="background1" w:themeFillShade="BF"/>
          </w:tcPr>
          <w:p w:rsidR="00951247" w:rsidRPr="00951247" w:rsidRDefault="00951247">
            <w:pPr>
              <w:rPr>
                <w:b/>
              </w:rPr>
            </w:pPr>
            <w:r>
              <w:rPr>
                <w:b/>
              </w:rPr>
              <w:t>Anticipated Funding Available</w:t>
            </w:r>
          </w:p>
        </w:tc>
        <w:tc>
          <w:tcPr>
            <w:tcW w:w="1644" w:type="dxa"/>
            <w:shd w:val="clear" w:color="auto" w:fill="BFBFBF" w:themeFill="background1" w:themeFillShade="BF"/>
          </w:tcPr>
          <w:p w:rsidR="00951247" w:rsidRPr="00951247" w:rsidRDefault="00951247">
            <w:pPr>
              <w:rPr>
                <w:b/>
              </w:rPr>
            </w:pPr>
            <w:r>
              <w:rPr>
                <w:b/>
              </w:rPr>
              <w:t>Anticipated Contract Start Date</w:t>
            </w:r>
          </w:p>
        </w:tc>
        <w:tc>
          <w:tcPr>
            <w:tcW w:w="1722" w:type="dxa"/>
            <w:shd w:val="clear" w:color="auto" w:fill="BFBFBF" w:themeFill="background1" w:themeFillShade="BF"/>
          </w:tcPr>
          <w:p w:rsidR="00951247" w:rsidRPr="00951247" w:rsidRDefault="00951247">
            <w:pPr>
              <w:rPr>
                <w:b/>
              </w:rPr>
            </w:pPr>
            <w:r>
              <w:rPr>
                <w:b/>
              </w:rPr>
              <w:t>Anticipated Funding Process</w:t>
            </w:r>
          </w:p>
        </w:tc>
      </w:tr>
      <w:tr w:rsidR="00951247" w:rsidTr="00987B46">
        <w:tc>
          <w:tcPr>
            <w:tcW w:w="4326" w:type="dxa"/>
          </w:tcPr>
          <w:p w:rsidR="00F35B91" w:rsidRPr="00F35B91" w:rsidRDefault="00F35B91">
            <w:r>
              <w:rPr>
                <w:b/>
                <w:u w:val="single"/>
              </w:rPr>
              <w:t>Medicaid Case Management</w:t>
            </w:r>
            <w:r w:rsidR="00D07551">
              <w:rPr>
                <w:b/>
                <w:u w:val="single"/>
              </w:rPr>
              <w:t xml:space="preserve"> (MCM)</w:t>
            </w:r>
            <w:r w:rsidRPr="00F35B91">
              <w:rPr>
                <w:b/>
              </w:rPr>
              <w:t xml:space="preserve">: </w:t>
            </w:r>
            <w:r>
              <w:rPr>
                <w:rStyle w:val="normaltextrun"/>
              </w:rPr>
              <w:t>Provides case management services to vulnerable persons 18 years and older in King County who receive Medicaid- funded Long Term Supports and Services (LTSS) in their own homes. </w:t>
            </w:r>
            <w:r w:rsidRPr="00F35B91">
              <w:rPr>
                <w:rStyle w:val="normaltextrun"/>
              </w:rPr>
              <w:t xml:space="preserve">Required </w:t>
            </w:r>
            <w:r>
              <w:rPr>
                <w:rStyle w:val="normaltextrun"/>
                <w:color w:val="1F497D"/>
              </w:rPr>
              <w:t>c</w:t>
            </w:r>
            <w:r>
              <w:rPr>
                <w:rStyle w:val="normaltextrun"/>
              </w:rPr>
              <w:t>ase management services include: assessing client needs</w:t>
            </w:r>
            <w:r w:rsidR="003032CC">
              <w:rPr>
                <w:rStyle w:val="normaltextrun"/>
              </w:rPr>
              <w:t>;</w:t>
            </w:r>
            <w:r>
              <w:rPr>
                <w:rStyle w:val="normaltextrun"/>
              </w:rPr>
              <w:t xml:space="preserve"> developing care plans</w:t>
            </w:r>
            <w:r w:rsidR="003032CC">
              <w:rPr>
                <w:rStyle w:val="normaltextrun"/>
              </w:rPr>
              <w:t>;</w:t>
            </w:r>
            <w:r>
              <w:rPr>
                <w:rStyle w:val="normaltextrun"/>
              </w:rPr>
              <w:t xml:space="preserve"> authorizing services</w:t>
            </w:r>
            <w:r w:rsidR="003032CC">
              <w:rPr>
                <w:rStyle w:val="normaltextrun"/>
              </w:rPr>
              <w:t>;</w:t>
            </w:r>
            <w:r>
              <w:rPr>
                <w:rStyle w:val="normaltextrun"/>
              </w:rPr>
              <w:t xml:space="preserve"> and coordinating care from paid service providers. </w:t>
            </w:r>
            <w:r w:rsidR="00D07551">
              <w:rPr>
                <w:rStyle w:val="normaltextrun"/>
              </w:rPr>
              <w:t>The MCM investment will fund LTSS case management services currently provided by Evergreen Care Network in East King County, and will look to increase capacity throughout King County to provide culturally responsive services to immigrant and refugee populations to be specified in the RFQ.</w:t>
            </w:r>
            <w:r w:rsidR="00D07551">
              <w:rPr>
                <w:rStyle w:val="eop"/>
              </w:rPr>
              <w:t> </w:t>
            </w:r>
            <w:r w:rsidRPr="00F35B91">
              <w:rPr>
                <w:rStyle w:val="normaltextrun"/>
              </w:rPr>
              <w:t>Providing case management for Long Term Services and Supports allows clients to live independent in the setting of their choice.</w:t>
            </w:r>
            <w:r>
              <w:rPr>
                <w:rStyle w:val="normaltextrun"/>
              </w:rPr>
              <w:t xml:space="preserve"> </w:t>
            </w:r>
          </w:p>
        </w:tc>
        <w:tc>
          <w:tcPr>
            <w:tcW w:w="1644" w:type="dxa"/>
          </w:tcPr>
          <w:p w:rsidR="00951247" w:rsidRDefault="00F35B91" w:rsidP="00F35B91">
            <w:r>
              <w:t>January 2016</w:t>
            </w:r>
          </w:p>
        </w:tc>
        <w:tc>
          <w:tcPr>
            <w:tcW w:w="1644" w:type="dxa"/>
          </w:tcPr>
          <w:p w:rsidR="00951247" w:rsidRDefault="00F35B91" w:rsidP="00F35B91">
            <w:r>
              <w:t>N/A – Fee for Service</w:t>
            </w:r>
          </w:p>
        </w:tc>
        <w:tc>
          <w:tcPr>
            <w:tcW w:w="1644" w:type="dxa"/>
          </w:tcPr>
          <w:p w:rsidR="00951247" w:rsidRDefault="00F35B91" w:rsidP="00F35B91">
            <w:r>
              <w:t>July 2016</w:t>
            </w:r>
          </w:p>
        </w:tc>
        <w:tc>
          <w:tcPr>
            <w:tcW w:w="1722" w:type="dxa"/>
          </w:tcPr>
          <w:p w:rsidR="00951247" w:rsidRDefault="00F35B91" w:rsidP="00F35B91">
            <w:r>
              <w:t>Request for Qualification</w:t>
            </w:r>
          </w:p>
        </w:tc>
      </w:tr>
      <w:tr w:rsidR="000D64F3" w:rsidTr="00987B46">
        <w:tc>
          <w:tcPr>
            <w:tcW w:w="4326" w:type="dxa"/>
          </w:tcPr>
          <w:p w:rsidR="000D64F3" w:rsidRDefault="000D64F3" w:rsidP="00D07551">
            <w:pPr>
              <w:rPr>
                <w:b/>
                <w:u w:val="single"/>
              </w:rPr>
            </w:pPr>
            <w:r>
              <w:rPr>
                <w:b/>
                <w:u w:val="single"/>
              </w:rPr>
              <w:t>Community Health Care Facilities Capital Improvements (CHCF):</w:t>
            </w:r>
          </w:p>
          <w:p w:rsidR="00EA3277" w:rsidRDefault="00D67B28" w:rsidP="00D67B28">
            <w:pPr>
              <w:rPr>
                <w:rFonts w:eastAsiaTheme="minorEastAsia"/>
              </w:rPr>
            </w:pPr>
            <w:r w:rsidRPr="73293F02">
              <w:rPr>
                <w:rFonts w:eastAsiaTheme="minorEastAsia"/>
              </w:rPr>
              <w:t xml:space="preserve">The federal Affordable Care Act (ACA) brought many people into the health care system through the expansion of Medicaid and Exchange-based health insurance. </w:t>
            </w:r>
            <w:r>
              <w:rPr>
                <w:rFonts w:eastAsiaTheme="minorEastAsia"/>
              </w:rPr>
              <w:t xml:space="preserve">Since 2013, </w:t>
            </w:r>
            <w:r w:rsidRPr="73293F02">
              <w:rPr>
                <w:rFonts w:eastAsiaTheme="minorEastAsia"/>
              </w:rPr>
              <w:t>over 84,000 additional</w:t>
            </w:r>
            <w:r>
              <w:rPr>
                <w:rFonts w:eastAsiaTheme="minorEastAsia"/>
              </w:rPr>
              <w:t xml:space="preserve"> King County</w:t>
            </w:r>
            <w:r w:rsidRPr="73293F02">
              <w:rPr>
                <w:rFonts w:eastAsiaTheme="minorEastAsia"/>
              </w:rPr>
              <w:t xml:space="preserve"> residents </w:t>
            </w:r>
            <w:r>
              <w:rPr>
                <w:rFonts w:eastAsiaTheme="minorEastAsia"/>
              </w:rPr>
              <w:t xml:space="preserve">now have health care insurance, many who </w:t>
            </w:r>
            <w:r w:rsidRPr="73293F02">
              <w:rPr>
                <w:rFonts w:eastAsiaTheme="minorEastAsia"/>
              </w:rPr>
              <w:t>qualify for Medicaid or receive subsidies in the Washington Health Care Exchange.</w:t>
            </w:r>
            <w:r w:rsidR="00EA3277">
              <w:rPr>
                <w:rFonts w:eastAsiaTheme="minorEastAsia"/>
              </w:rPr>
              <w:t xml:space="preserve"> </w:t>
            </w:r>
            <w:r>
              <w:rPr>
                <w:rFonts w:eastAsiaTheme="minorEastAsia"/>
              </w:rPr>
              <w:t xml:space="preserve">This increase </w:t>
            </w:r>
            <w:r w:rsidRPr="73293F02">
              <w:rPr>
                <w:rFonts w:eastAsiaTheme="minorEastAsia"/>
              </w:rPr>
              <w:t xml:space="preserve">has resulted in unprecedented demand for care, particularly at safety-net clinics whose mission it is to serve lower-income populations including those who still remain uninsured due to a number of factors, including immigration status. </w:t>
            </w:r>
            <w:r w:rsidR="00EA3277">
              <w:rPr>
                <w:rFonts w:eastAsiaTheme="minorEastAsia"/>
              </w:rPr>
              <w:t xml:space="preserve">The CHCF investment will fund capital improvements </w:t>
            </w:r>
            <w:r w:rsidR="00EA3277" w:rsidRPr="73293F02">
              <w:rPr>
                <w:rFonts w:eastAsiaTheme="minorEastAsia"/>
              </w:rPr>
              <w:t xml:space="preserve">that result in an expansion of </w:t>
            </w:r>
            <w:r w:rsidR="00EA3277" w:rsidRPr="73293F02">
              <w:rPr>
                <w:rFonts w:eastAsiaTheme="minorEastAsia"/>
              </w:rPr>
              <w:lastRenderedPageBreak/>
              <w:t>capacity and quality of services</w:t>
            </w:r>
            <w:r w:rsidR="00EA3277">
              <w:rPr>
                <w:rFonts w:eastAsiaTheme="minorEastAsia"/>
              </w:rPr>
              <w:t xml:space="preserve"> for </w:t>
            </w:r>
            <w:r w:rsidR="00EA3277" w:rsidRPr="73293F02">
              <w:rPr>
                <w:rFonts w:eastAsiaTheme="minorEastAsia"/>
              </w:rPr>
              <w:t>Federally Qualified Health Centers (FQHCs) which includes all organizations receiving grants under Section 330 of the Public Health Service Act (PHS) and FQHC Look-Alikes (organizations that meet PHS Section 330 eligibility requirements, but do not receive grant funding).</w:t>
            </w:r>
            <w:r w:rsidR="00EA3277">
              <w:rPr>
                <w:rFonts w:eastAsiaTheme="minorEastAsia"/>
              </w:rPr>
              <w:t xml:space="preserve"> </w:t>
            </w:r>
          </w:p>
          <w:p w:rsidR="000D64F3" w:rsidRPr="000D64F3" w:rsidRDefault="000D64F3" w:rsidP="00D07551"/>
        </w:tc>
        <w:tc>
          <w:tcPr>
            <w:tcW w:w="1644" w:type="dxa"/>
          </w:tcPr>
          <w:p w:rsidR="000D64F3" w:rsidRDefault="000D64F3" w:rsidP="00F35B91">
            <w:r>
              <w:lastRenderedPageBreak/>
              <w:t xml:space="preserve">March </w:t>
            </w:r>
            <w:r w:rsidR="00EA3277">
              <w:t>2016</w:t>
            </w:r>
          </w:p>
        </w:tc>
        <w:tc>
          <w:tcPr>
            <w:tcW w:w="1644" w:type="dxa"/>
          </w:tcPr>
          <w:p w:rsidR="000D64F3" w:rsidRDefault="00EA3277" w:rsidP="00F35B91">
            <w:r>
              <w:t>Up to $2 million</w:t>
            </w:r>
          </w:p>
        </w:tc>
        <w:tc>
          <w:tcPr>
            <w:tcW w:w="1644" w:type="dxa"/>
          </w:tcPr>
          <w:p w:rsidR="000D64F3" w:rsidRDefault="00EA3277" w:rsidP="00F35B91">
            <w:r>
              <w:t>June 2016</w:t>
            </w:r>
          </w:p>
        </w:tc>
        <w:tc>
          <w:tcPr>
            <w:tcW w:w="1722" w:type="dxa"/>
          </w:tcPr>
          <w:p w:rsidR="000D64F3" w:rsidRDefault="00EA3277" w:rsidP="00EA3277">
            <w:r>
              <w:t>Request for Proposal</w:t>
            </w:r>
          </w:p>
        </w:tc>
      </w:tr>
      <w:tr w:rsidR="00951247" w:rsidTr="00987B46">
        <w:tc>
          <w:tcPr>
            <w:tcW w:w="4326" w:type="dxa"/>
          </w:tcPr>
          <w:p w:rsidR="00951247" w:rsidRDefault="00D07551" w:rsidP="00D07551">
            <w:pPr>
              <w:rPr>
                <w:b/>
              </w:rPr>
            </w:pPr>
            <w:r>
              <w:rPr>
                <w:b/>
                <w:u w:val="single"/>
              </w:rPr>
              <w:t>Youth Mental Health (YMH)</w:t>
            </w:r>
            <w:r w:rsidRPr="00F35B91">
              <w:rPr>
                <w:b/>
              </w:rPr>
              <w:t>:</w:t>
            </w:r>
          </w:p>
          <w:p w:rsidR="00BD7A4B" w:rsidRDefault="009A468E" w:rsidP="003032CC">
            <w:r>
              <w:t xml:space="preserve">Youth mental health services act as a safety net to ensure youth receive support at critical times in their life when they are feeling overwhelming trauma that affects them at school and home.  </w:t>
            </w:r>
            <w:r w:rsidR="00E83168">
              <w:t xml:space="preserve">The YMH investment will fund </w:t>
            </w:r>
            <w:r w:rsidR="00C74496">
              <w:t>mental health services</w:t>
            </w:r>
            <w:r>
              <w:t xml:space="preserve"> for school age youth with a focus on low income youth of color</w:t>
            </w:r>
            <w:r w:rsidR="00C74496" w:rsidRPr="00DD71EF">
              <w:t>, homeless youth and LGBTQ youth</w:t>
            </w:r>
            <w:r>
              <w:t xml:space="preserve"> from across Seattle</w:t>
            </w:r>
            <w:r w:rsidR="003032CC">
              <w:t xml:space="preserve"> with a</w:t>
            </w:r>
            <w:r w:rsidR="00C74496">
              <w:t>n emphasis</w:t>
            </w:r>
            <w:r w:rsidR="003032CC">
              <w:t xml:space="preserve"> on achieving </w:t>
            </w:r>
            <w:r>
              <w:t xml:space="preserve">results </w:t>
            </w:r>
            <w:r w:rsidR="003032CC">
              <w:t xml:space="preserve">that </w:t>
            </w:r>
            <w:r>
              <w:t xml:space="preserve">help youth stay emotionally healthy and transition successfully to adulthood.  </w:t>
            </w:r>
            <w:r w:rsidR="003032CC">
              <w:t>Service components</w:t>
            </w:r>
            <w:r w:rsidR="00DD2ED9">
              <w:t xml:space="preserve"> of</w:t>
            </w:r>
            <w:r w:rsidR="003032CC">
              <w:t xml:space="preserve"> </w:t>
            </w:r>
            <w:r>
              <w:t>this Request for Proposal (RFP) may include: one-on-one counseling</w:t>
            </w:r>
            <w:r w:rsidR="003032CC">
              <w:t>;</w:t>
            </w:r>
            <w:r>
              <w:t xml:space="preserve"> family counseling</w:t>
            </w:r>
            <w:r w:rsidR="003032CC">
              <w:t>;</w:t>
            </w:r>
            <w:r>
              <w:t xml:space="preserve"> group counseling</w:t>
            </w:r>
            <w:r w:rsidR="003032CC">
              <w:t>;</w:t>
            </w:r>
            <w:r>
              <w:t xml:space="preserve"> substance abuse counseling</w:t>
            </w:r>
            <w:r w:rsidR="003032CC">
              <w:t>;</w:t>
            </w:r>
            <w:r>
              <w:t xml:space="preserve"> counseling for LGBTQ youth</w:t>
            </w:r>
            <w:r w:rsidR="003032CC">
              <w:t>;</w:t>
            </w:r>
            <w:r>
              <w:t xml:space="preserve"> and family case management support.   </w:t>
            </w:r>
          </w:p>
        </w:tc>
        <w:tc>
          <w:tcPr>
            <w:tcW w:w="1644" w:type="dxa"/>
          </w:tcPr>
          <w:p w:rsidR="00951247" w:rsidRDefault="00EE6C3F" w:rsidP="00F35B91">
            <w:r>
              <w:t>March 2016</w:t>
            </w:r>
          </w:p>
        </w:tc>
        <w:tc>
          <w:tcPr>
            <w:tcW w:w="1644" w:type="dxa"/>
          </w:tcPr>
          <w:p w:rsidR="00951247" w:rsidRDefault="00A0298C" w:rsidP="00F35B91">
            <w:r>
              <w:t xml:space="preserve">Up to </w:t>
            </w:r>
            <w:r w:rsidR="00EE6C3F">
              <w:t>$627,888</w:t>
            </w:r>
          </w:p>
        </w:tc>
        <w:tc>
          <w:tcPr>
            <w:tcW w:w="1644" w:type="dxa"/>
          </w:tcPr>
          <w:p w:rsidR="00951247" w:rsidRDefault="00EE6C3F" w:rsidP="00F35B91">
            <w:r>
              <w:t>January 2017</w:t>
            </w:r>
          </w:p>
        </w:tc>
        <w:tc>
          <w:tcPr>
            <w:tcW w:w="1722" w:type="dxa"/>
          </w:tcPr>
          <w:p w:rsidR="00951247" w:rsidRDefault="00E83168" w:rsidP="00F35B91">
            <w:r>
              <w:t>Request for Proposal</w:t>
            </w:r>
          </w:p>
        </w:tc>
      </w:tr>
      <w:tr w:rsidR="00951247" w:rsidTr="00987B46">
        <w:tc>
          <w:tcPr>
            <w:tcW w:w="4326" w:type="dxa"/>
          </w:tcPr>
          <w:p w:rsidR="00951247" w:rsidRDefault="00D07551" w:rsidP="00D07551">
            <w:pPr>
              <w:rPr>
                <w:b/>
              </w:rPr>
            </w:pPr>
            <w:r>
              <w:rPr>
                <w:b/>
                <w:u w:val="single"/>
              </w:rPr>
              <w:t xml:space="preserve">Youth Development </w:t>
            </w:r>
            <w:r w:rsidR="000D64F3">
              <w:rPr>
                <w:b/>
                <w:u w:val="single"/>
              </w:rPr>
              <w:t xml:space="preserve">and Educational Support </w:t>
            </w:r>
            <w:r>
              <w:rPr>
                <w:b/>
                <w:u w:val="single"/>
              </w:rPr>
              <w:t>(YD</w:t>
            </w:r>
            <w:r w:rsidR="000D64F3">
              <w:rPr>
                <w:b/>
                <w:u w:val="single"/>
              </w:rPr>
              <w:t>ES</w:t>
            </w:r>
            <w:r>
              <w:rPr>
                <w:b/>
                <w:u w:val="single"/>
              </w:rPr>
              <w:t>)</w:t>
            </w:r>
            <w:r w:rsidRPr="00F35B91">
              <w:rPr>
                <w:b/>
              </w:rPr>
              <w:t>:</w:t>
            </w:r>
          </w:p>
          <w:p w:rsidR="00BD7A4B" w:rsidRDefault="00EA3277" w:rsidP="00B659B0">
            <w:r w:rsidRPr="05FDDC47">
              <w:rPr>
                <w:rFonts w:eastAsiaTheme="minorEastAsia"/>
                <w:color w:val="000000" w:themeColor="text1"/>
              </w:rPr>
              <w:t>Youth development and educational support programming is an early prevention tool that provides at-risk youth constructive alternati</w:t>
            </w:r>
            <w:r>
              <w:rPr>
                <w:rFonts w:eastAsiaTheme="minorEastAsia"/>
                <w:color w:val="000000" w:themeColor="text1"/>
              </w:rPr>
              <w:t>ves during out-of-school time</w:t>
            </w:r>
            <w:r w:rsidR="00210901">
              <w:rPr>
                <w:rFonts w:eastAsiaTheme="minorEastAsia"/>
                <w:color w:val="000000" w:themeColor="text1"/>
              </w:rPr>
              <w:t xml:space="preserve"> by providing </w:t>
            </w:r>
            <w:r w:rsidRPr="05FDDC47">
              <w:rPr>
                <w:rFonts w:eastAsiaTheme="minorEastAsia"/>
              </w:rPr>
              <w:t xml:space="preserve">a safe and educational space to make social connections, learn new skills, receive support, and connect with staff who represent their culture. </w:t>
            </w:r>
            <w:r w:rsidRPr="05FDDC47">
              <w:rPr>
                <w:rFonts w:eastAsiaTheme="minorEastAsia"/>
                <w:color w:val="000000" w:themeColor="text1"/>
              </w:rPr>
              <w:t>Access to youth development and educational support programs during out-of-school time is essential to keep youth safe, support youth academic success, provide enriching activities for at-risk youth, and support working parent(s)/guardian(s)</w:t>
            </w:r>
            <w:r w:rsidR="00210901">
              <w:rPr>
                <w:rFonts w:eastAsiaTheme="minorEastAsia"/>
                <w:color w:val="000000" w:themeColor="text1"/>
              </w:rPr>
              <w:t xml:space="preserve">. </w:t>
            </w:r>
            <w:r w:rsidR="003032CC">
              <w:t>The YD</w:t>
            </w:r>
            <w:r w:rsidR="00210901">
              <w:t>ES</w:t>
            </w:r>
            <w:r w:rsidR="003032CC">
              <w:t xml:space="preserve"> investment will fund</w:t>
            </w:r>
            <w:r w:rsidR="00210901">
              <w:t xml:space="preserve"> </w:t>
            </w:r>
            <w:r w:rsidR="00210901" w:rsidRPr="734F7743">
              <w:rPr>
                <w:rFonts w:eastAsiaTheme="minorEastAsia"/>
              </w:rPr>
              <w:t xml:space="preserve">out-of-school time, year-round </w:t>
            </w:r>
            <w:r w:rsidR="00210901" w:rsidRPr="734F7743">
              <w:rPr>
                <w:rFonts w:eastAsiaTheme="minorEastAsia"/>
              </w:rPr>
              <w:lastRenderedPageBreak/>
              <w:t>youth development and educational support programming focused on low income Seattle youth</w:t>
            </w:r>
            <w:r w:rsidR="00210901">
              <w:rPr>
                <w:rFonts w:eastAsiaTheme="minorEastAsia"/>
              </w:rPr>
              <w:t xml:space="preserve"> of color </w:t>
            </w:r>
            <w:r w:rsidR="00210901" w:rsidRPr="734F7743">
              <w:rPr>
                <w:rFonts w:eastAsiaTheme="minorEastAsia"/>
                <w:color w:val="000000" w:themeColor="text1"/>
              </w:rPr>
              <w:t>to increase students’ academic progress and/or develop or strengthen self-confidence and pro-social skills and community and/or school connection.</w:t>
            </w:r>
          </w:p>
        </w:tc>
        <w:tc>
          <w:tcPr>
            <w:tcW w:w="1644" w:type="dxa"/>
          </w:tcPr>
          <w:p w:rsidR="00951247" w:rsidRDefault="009C1997" w:rsidP="00F35B91">
            <w:r>
              <w:lastRenderedPageBreak/>
              <w:t>April 2016</w:t>
            </w:r>
          </w:p>
        </w:tc>
        <w:tc>
          <w:tcPr>
            <w:tcW w:w="1644" w:type="dxa"/>
          </w:tcPr>
          <w:p w:rsidR="00951247" w:rsidRDefault="00A0298C" w:rsidP="00EA3277">
            <w:r>
              <w:t xml:space="preserve">Up to </w:t>
            </w:r>
            <w:r w:rsidR="00CF0E95">
              <w:t>$</w:t>
            </w:r>
            <w:r w:rsidR="00EA3277">
              <w:t>842,000</w:t>
            </w:r>
          </w:p>
        </w:tc>
        <w:tc>
          <w:tcPr>
            <w:tcW w:w="1644" w:type="dxa"/>
          </w:tcPr>
          <w:p w:rsidR="00951247" w:rsidRDefault="00CF0E95" w:rsidP="00F35B91">
            <w:r>
              <w:t>January 2017</w:t>
            </w:r>
          </w:p>
        </w:tc>
        <w:tc>
          <w:tcPr>
            <w:tcW w:w="1722" w:type="dxa"/>
          </w:tcPr>
          <w:p w:rsidR="00951247" w:rsidRDefault="00BD7A4B" w:rsidP="00F35B91">
            <w:r>
              <w:t>Request for Proposal</w:t>
            </w:r>
          </w:p>
        </w:tc>
      </w:tr>
      <w:tr w:rsidR="00D07551" w:rsidTr="00987B46">
        <w:tc>
          <w:tcPr>
            <w:tcW w:w="4326" w:type="dxa"/>
          </w:tcPr>
          <w:p w:rsidR="00E20B34" w:rsidRPr="00E20B34" w:rsidRDefault="00E20B34" w:rsidP="00B659B0">
            <w:pPr>
              <w:pStyle w:val="TableParagraph"/>
              <w:ind w:right="198"/>
            </w:pPr>
            <w:r>
              <w:rPr>
                <w:b/>
                <w:u w:val="single"/>
              </w:rPr>
              <w:t>Senior Health Promotion (SHP):</w:t>
            </w:r>
            <w:r>
              <w:t xml:space="preserve"> Evidence-based health promotion activities provide older adults opportunities to live healthier lives and remain independent in the community. Services may include workshop trainings such as managing chronic conditions, and fitness and injury prevention classes. Services funded through this investment will be available to seniors throughout King County</w:t>
            </w:r>
            <w:r>
              <w:rPr>
                <w:color w:val="FF0000"/>
              </w:rPr>
              <w:t xml:space="preserve"> </w:t>
            </w:r>
            <w:r>
              <w:t>and must meet the </w:t>
            </w:r>
            <w:hyperlink r:id="rId11" w:history="1">
              <w:r>
                <w:rPr>
                  <w:rStyle w:val="Hyperlink"/>
                </w:rPr>
                <w:t>highest-level criteria</w:t>
              </w:r>
            </w:hyperlink>
            <w:r>
              <w:t xml:space="preserve"> for evidence-based programs. In addition to the evidence-based programs, some funding will be allocated to provide education to seniors on proper drug and medication use.  </w:t>
            </w:r>
          </w:p>
        </w:tc>
        <w:tc>
          <w:tcPr>
            <w:tcW w:w="1644" w:type="dxa"/>
          </w:tcPr>
          <w:p w:rsidR="00501EB4" w:rsidRDefault="00E20B34" w:rsidP="00F35B91">
            <w:r>
              <w:t>Ju</w:t>
            </w:r>
            <w:r w:rsidR="00501EB4">
              <w:t>ne</w:t>
            </w:r>
            <w:r>
              <w:t xml:space="preserve"> 2016</w:t>
            </w:r>
          </w:p>
          <w:p w:rsidR="00501EB4" w:rsidRPr="00501EB4" w:rsidRDefault="00501EB4" w:rsidP="00501EB4"/>
          <w:p w:rsidR="00501EB4" w:rsidRDefault="00501EB4" w:rsidP="00501EB4"/>
          <w:p w:rsidR="00D07551" w:rsidRPr="00501EB4" w:rsidRDefault="00D07551" w:rsidP="00501EB4">
            <w:pPr>
              <w:jc w:val="center"/>
            </w:pPr>
          </w:p>
        </w:tc>
        <w:tc>
          <w:tcPr>
            <w:tcW w:w="1644" w:type="dxa"/>
          </w:tcPr>
          <w:p w:rsidR="00D07551" w:rsidRDefault="00E20B34" w:rsidP="00F35B91">
            <w:r>
              <w:t>Up to $162,000</w:t>
            </w:r>
          </w:p>
        </w:tc>
        <w:tc>
          <w:tcPr>
            <w:tcW w:w="1644" w:type="dxa"/>
          </w:tcPr>
          <w:p w:rsidR="00D07551" w:rsidRDefault="00E20B34" w:rsidP="00F35B91">
            <w:r>
              <w:t>January 2017</w:t>
            </w:r>
          </w:p>
        </w:tc>
        <w:tc>
          <w:tcPr>
            <w:tcW w:w="1722" w:type="dxa"/>
          </w:tcPr>
          <w:p w:rsidR="00D07551" w:rsidRDefault="00E20B34" w:rsidP="00F35B91">
            <w:r>
              <w:t xml:space="preserve">Request for Proposal </w:t>
            </w:r>
          </w:p>
        </w:tc>
      </w:tr>
      <w:tr w:rsidR="00987B46" w:rsidTr="00987B46">
        <w:tc>
          <w:tcPr>
            <w:tcW w:w="4326" w:type="dxa"/>
          </w:tcPr>
          <w:p w:rsidR="00EE7693" w:rsidRDefault="00987B46" w:rsidP="00EE7693">
            <w:pPr>
              <w:rPr>
                <w:color w:val="1F497D"/>
              </w:rPr>
            </w:pPr>
            <w:r>
              <w:rPr>
                <w:b/>
                <w:u w:val="single"/>
              </w:rPr>
              <w:t xml:space="preserve">Seattle Navigation Center (SNC): </w:t>
            </w:r>
            <w:r w:rsidR="00EE7693">
              <w:t>The Navigation Center will offer temporary housing and services for up to 75 adults at a time, who are currently living unsheltered. The center offers indoor living space and support 24-hours per day, seven days per week for people and their partners, pets, and possessions. The center applies housing first and recovery principles with skilled staff on site to promote stability and departures to permanent housing.</w:t>
            </w:r>
          </w:p>
          <w:p w:rsidR="00987B46" w:rsidRDefault="00987B46" w:rsidP="00B659B0"/>
        </w:tc>
        <w:tc>
          <w:tcPr>
            <w:tcW w:w="1644" w:type="dxa"/>
          </w:tcPr>
          <w:p w:rsidR="00987B46" w:rsidRDefault="008854F2" w:rsidP="00987B46">
            <w:r>
              <w:t>Fall</w:t>
            </w:r>
            <w:bookmarkStart w:id="0" w:name="_GoBack"/>
            <w:bookmarkEnd w:id="0"/>
            <w:r w:rsidR="00987B46">
              <w:t xml:space="preserve"> 2016</w:t>
            </w:r>
          </w:p>
          <w:p w:rsidR="00987B46" w:rsidRPr="00501EB4" w:rsidRDefault="00987B46" w:rsidP="00987B46"/>
          <w:p w:rsidR="00987B46" w:rsidRDefault="00987B46" w:rsidP="00987B46"/>
          <w:p w:rsidR="00987B46" w:rsidRPr="00501EB4" w:rsidRDefault="00987B46" w:rsidP="00987B46">
            <w:pPr>
              <w:jc w:val="center"/>
            </w:pPr>
          </w:p>
        </w:tc>
        <w:tc>
          <w:tcPr>
            <w:tcW w:w="1644" w:type="dxa"/>
          </w:tcPr>
          <w:p w:rsidR="00987B46" w:rsidRDefault="00987B46" w:rsidP="00987B46">
            <w:r>
              <w:t>Up to $1 million</w:t>
            </w:r>
          </w:p>
        </w:tc>
        <w:tc>
          <w:tcPr>
            <w:tcW w:w="1644" w:type="dxa"/>
          </w:tcPr>
          <w:p w:rsidR="00987B46" w:rsidRDefault="00987B46" w:rsidP="00987B46">
            <w:r>
              <w:t>December  2016</w:t>
            </w:r>
          </w:p>
        </w:tc>
        <w:tc>
          <w:tcPr>
            <w:tcW w:w="1722" w:type="dxa"/>
          </w:tcPr>
          <w:p w:rsidR="00987B46" w:rsidRDefault="00987B46" w:rsidP="00987B46">
            <w:r>
              <w:t xml:space="preserve">Request for Qualification </w:t>
            </w:r>
          </w:p>
        </w:tc>
      </w:tr>
      <w:tr w:rsidR="00987B46" w:rsidTr="00987B46">
        <w:tc>
          <w:tcPr>
            <w:tcW w:w="10980" w:type="dxa"/>
            <w:gridSpan w:val="5"/>
          </w:tcPr>
          <w:p w:rsidR="00987B46" w:rsidRDefault="00987B46" w:rsidP="00987B46"/>
          <w:p w:rsidR="00987B46" w:rsidRPr="00D77AE3" w:rsidRDefault="00987B46" w:rsidP="00987B46">
            <w:r>
              <w:t>In response to Mayoral or Council budget additions for areas not currently contracted or previously funded, HSD may elect to develop criteria and release a competitive funding process (not listed above) or direct allocate. In determining the appropriate avenue for expending budget additions, HSD will make every effort to ensure good stewardship of these public funds.</w:t>
            </w:r>
          </w:p>
          <w:p w:rsidR="00987B46" w:rsidRDefault="00987B46" w:rsidP="00987B46"/>
        </w:tc>
      </w:tr>
    </w:tbl>
    <w:p w:rsidR="00501EB4" w:rsidRDefault="00501EB4" w:rsidP="00987B46">
      <w:pPr>
        <w:pStyle w:val="BodyText"/>
        <w:spacing w:before="56"/>
        <w:ind w:left="0" w:right="85" w:firstLine="0"/>
      </w:pPr>
    </w:p>
    <w:sectPr w:rsidR="00501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A5" w:rsidRDefault="00BB1EA5" w:rsidP="00951247">
      <w:r>
        <w:separator/>
      </w:r>
    </w:p>
  </w:endnote>
  <w:endnote w:type="continuationSeparator" w:id="0">
    <w:p w:rsidR="00BB1EA5" w:rsidRDefault="00BB1EA5" w:rsidP="0095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92" w:rsidRDefault="000D64F3">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4DF866FD" wp14:editId="4D93C9CE">
              <wp:simplePos x="0" y="0"/>
              <wp:positionH relativeFrom="page">
                <wp:posOffset>670560</wp:posOffset>
              </wp:positionH>
              <wp:positionV relativeFrom="page">
                <wp:posOffset>9334500</wp:posOffset>
              </wp:positionV>
              <wp:extent cx="2702560" cy="586740"/>
              <wp:effectExtent l="0" t="0" r="254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192" w:rsidRDefault="00E20B34">
                          <w:pPr>
                            <w:spacing w:line="264" w:lineRule="exact"/>
                            <w:ind w:left="20"/>
                            <w:rPr>
                              <w:rFonts w:ascii="Calibri" w:eastAsia="Calibri" w:hAnsi="Calibri" w:cs="Calibri"/>
                              <w:sz w:val="24"/>
                              <w:szCs w:val="24"/>
                            </w:rPr>
                          </w:pPr>
                          <w:r>
                            <w:rPr>
                              <w:rFonts w:ascii="Calibri"/>
                              <w:w w:val="99"/>
                              <w:sz w:val="24"/>
                            </w:rPr>
                            <w:t>201</w:t>
                          </w:r>
                          <w:r w:rsidR="00951247">
                            <w:rPr>
                              <w:rFonts w:ascii="Calibri"/>
                              <w:w w:val="99"/>
                              <w:sz w:val="24"/>
                            </w:rPr>
                            <w:t>6</w:t>
                          </w:r>
                          <w:r>
                            <w:rPr>
                              <w:rFonts w:ascii="Calibri"/>
                              <w:spacing w:val="-1"/>
                              <w:sz w:val="24"/>
                            </w:rPr>
                            <w:t xml:space="preserve"> </w:t>
                          </w:r>
                          <w:r>
                            <w:rPr>
                              <w:rFonts w:ascii="Calibri"/>
                              <w:spacing w:val="1"/>
                              <w:w w:val="99"/>
                              <w:sz w:val="24"/>
                            </w:rPr>
                            <w:t>N</w:t>
                          </w:r>
                          <w:r>
                            <w:rPr>
                              <w:rFonts w:ascii="Calibri"/>
                              <w:spacing w:val="-2"/>
                              <w:sz w:val="24"/>
                            </w:rPr>
                            <w:t>o</w:t>
                          </w:r>
                          <w:r>
                            <w:rPr>
                              <w:rFonts w:ascii="Calibri"/>
                              <w:spacing w:val="1"/>
                              <w:sz w:val="24"/>
                            </w:rPr>
                            <w:t>t</w:t>
                          </w:r>
                          <w:r>
                            <w:rPr>
                              <w:rFonts w:ascii="Calibri"/>
                              <w:sz w:val="24"/>
                            </w:rPr>
                            <w:t>i</w:t>
                          </w:r>
                          <w:r>
                            <w:rPr>
                              <w:rFonts w:ascii="Calibri"/>
                              <w:spacing w:val="-1"/>
                              <w:w w:val="99"/>
                              <w:sz w:val="24"/>
                            </w:rPr>
                            <w:t>c</w:t>
                          </w:r>
                          <w:r>
                            <w:rPr>
                              <w:rFonts w:ascii="Calibri"/>
                              <w:w w:val="99"/>
                              <w:sz w:val="24"/>
                            </w:rPr>
                            <w:t>e</w:t>
                          </w:r>
                          <w:r>
                            <w:rPr>
                              <w:rFonts w:ascii="Calibri"/>
                              <w:spacing w:val="-1"/>
                              <w:sz w:val="24"/>
                            </w:rPr>
                            <w:t xml:space="preserve"> </w:t>
                          </w:r>
                          <w:r>
                            <w:rPr>
                              <w:rFonts w:ascii="Calibri"/>
                              <w:sz w:val="24"/>
                            </w:rPr>
                            <w:t>of</w:t>
                          </w:r>
                          <w:r>
                            <w:rPr>
                              <w:rFonts w:ascii="Calibri"/>
                              <w:spacing w:val="2"/>
                              <w:sz w:val="24"/>
                            </w:rPr>
                            <w:t xml:space="preserve"> </w:t>
                          </w:r>
                          <w:r>
                            <w:rPr>
                              <w:rFonts w:ascii="Calibri"/>
                              <w:spacing w:val="-3"/>
                              <w:sz w:val="24"/>
                            </w:rPr>
                            <w:t>F</w:t>
                          </w:r>
                          <w:r>
                            <w:rPr>
                              <w:rFonts w:ascii="Calibri"/>
                              <w:spacing w:val="1"/>
                              <w:sz w:val="24"/>
                            </w:rPr>
                            <w:t>u</w:t>
                          </w:r>
                          <w:r>
                            <w:rPr>
                              <w:rFonts w:ascii="Calibri"/>
                              <w:spacing w:val="-2"/>
                              <w:sz w:val="24"/>
                            </w:rPr>
                            <w:t>n</w:t>
                          </w:r>
                          <w:r>
                            <w:rPr>
                              <w:rFonts w:ascii="Calibri"/>
                              <w:spacing w:val="1"/>
                              <w:sz w:val="24"/>
                            </w:rPr>
                            <w:t>d</w:t>
                          </w:r>
                          <w:r>
                            <w:rPr>
                              <w:rFonts w:ascii="Calibri"/>
                              <w:sz w:val="24"/>
                            </w:rPr>
                            <w:t>i</w:t>
                          </w:r>
                          <w:r>
                            <w:rPr>
                              <w:rFonts w:ascii="Calibri"/>
                              <w:spacing w:val="1"/>
                              <w:sz w:val="24"/>
                            </w:rPr>
                            <w:t>n</w:t>
                          </w:r>
                          <w:r>
                            <w:rPr>
                              <w:rFonts w:ascii="Calibri"/>
                              <w:sz w:val="24"/>
                            </w:rPr>
                            <w:t>g</w:t>
                          </w:r>
                          <w:r>
                            <w:rPr>
                              <w:rFonts w:ascii="Calibri"/>
                              <w:spacing w:val="-4"/>
                              <w:sz w:val="24"/>
                            </w:rPr>
                            <w:t xml:space="preserve"> </w:t>
                          </w:r>
                          <w:r>
                            <w:rPr>
                              <w:rFonts w:ascii="Calibri"/>
                              <w:w w:val="99"/>
                              <w:sz w:val="24"/>
                            </w:rPr>
                            <w:t>A</w:t>
                          </w:r>
                          <w:r>
                            <w:rPr>
                              <w:rFonts w:ascii="Calibri"/>
                              <w:spacing w:val="-1"/>
                              <w:w w:val="99"/>
                              <w:sz w:val="24"/>
                            </w:rPr>
                            <w:t>v</w:t>
                          </w:r>
                          <w:r>
                            <w:rPr>
                              <w:rFonts w:ascii="Calibri"/>
                              <w:sz w:val="24"/>
                            </w:rPr>
                            <w:t>ailabili</w:t>
                          </w:r>
                          <w:r>
                            <w:rPr>
                              <w:rFonts w:ascii="Calibri"/>
                              <w:spacing w:val="1"/>
                              <w:sz w:val="24"/>
                            </w:rPr>
                            <w:t>t</w:t>
                          </w:r>
                          <w:r>
                            <w:rPr>
                              <w:rFonts w:ascii="Calibri"/>
                              <w:w w:val="99"/>
                              <w:sz w:val="24"/>
                            </w:rPr>
                            <w:t>y</w:t>
                          </w:r>
                        </w:p>
                        <w:p w:rsidR="005D6192" w:rsidRDefault="00E20B34">
                          <w:pPr>
                            <w:spacing w:before="2"/>
                            <w:ind w:left="20"/>
                            <w:rPr>
                              <w:rFonts w:ascii="Calibri"/>
                              <w:w w:val="99"/>
                              <w:sz w:val="24"/>
                            </w:rPr>
                          </w:pPr>
                          <w:r>
                            <w:rPr>
                              <w:rFonts w:ascii="Calibri"/>
                              <w:spacing w:val="-1"/>
                              <w:sz w:val="24"/>
                            </w:rPr>
                            <w:t>C</w:t>
                          </w:r>
                          <w:r>
                            <w:rPr>
                              <w:rFonts w:ascii="Calibri"/>
                              <w:sz w:val="24"/>
                            </w:rPr>
                            <w:t>i</w:t>
                          </w:r>
                          <w:r>
                            <w:rPr>
                              <w:rFonts w:ascii="Calibri"/>
                              <w:spacing w:val="1"/>
                              <w:sz w:val="24"/>
                            </w:rPr>
                            <w:t>t</w:t>
                          </w:r>
                          <w:r>
                            <w:rPr>
                              <w:rFonts w:ascii="Calibri"/>
                              <w:w w:val="99"/>
                              <w:sz w:val="24"/>
                            </w:rPr>
                            <w:t>y</w:t>
                          </w:r>
                          <w:r>
                            <w:rPr>
                              <w:rFonts w:ascii="Calibri"/>
                              <w:sz w:val="24"/>
                            </w:rPr>
                            <w:t xml:space="preserve"> of</w:t>
                          </w:r>
                          <w:r>
                            <w:rPr>
                              <w:rFonts w:ascii="Calibri"/>
                              <w:spacing w:val="-1"/>
                              <w:sz w:val="24"/>
                            </w:rPr>
                            <w:t xml:space="preserve"> </w:t>
                          </w:r>
                          <w:r>
                            <w:rPr>
                              <w:rFonts w:ascii="Calibri"/>
                              <w:sz w:val="24"/>
                            </w:rPr>
                            <w:t>Sea</w:t>
                          </w:r>
                          <w:r>
                            <w:rPr>
                              <w:rFonts w:ascii="Calibri"/>
                              <w:spacing w:val="-2"/>
                              <w:sz w:val="24"/>
                            </w:rPr>
                            <w:t>t</w:t>
                          </w:r>
                          <w:r>
                            <w:rPr>
                              <w:rFonts w:ascii="Calibri"/>
                              <w:spacing w:val="1"/>
                              <w:w w:val="99"/>
                              <w:sz w:val="24"/>
                            </w:rPr>
                            <w:t>t</w:t>
                          </w:r>
                          <w:r>
                            <w:rPr>
                              <w:rFonts w:ascii="Calibri"/>
                              <w:sz w:val="24"/>
                            </w:rPr>
                            <w:t>le</w:t>
                          </w:r>
                          <w:r>
                            <w:rPr>
                              <w:rFonts w:ascii="Calibri"/>
                              <w:spacing w:val="-1"/>
                              <w:sz w:val="24"/>
                            </w:rPr>
                            <w:t xml:space="preserve"> H</w:t>
                          </w:r>
                          <w:r>
                            <w:rPr>
                              <w:rFonts w:ascii="Calibri"/>
                              <w:spacing w:val="1"/>
                              <w:sz w:val="24"/>
                            </w:rPr>
                            <w:t>u</w:t>
                          </w:r>
                          <w:r>
                            <w:rPr>
                              <w:rFonts w:ascii="Calibri"/>
                              <w:sz w:val="24"/>
                            </w:rPr>
                            <w:t>man</w:t>
                          </w:r>
                          <w:r>
                            <w:rPr>
                              <w:rFonts w:ascii="Calibri"/>
                              <w:spacing w:val="-1"/>
                              <w:sz w:val="24"/>
                            </w:rPr>
                            <w:t xml:space="preserve"> </w:t>
                          </w:r>
                          <w:r>
                            <w:rPr>
                              <w:rFonts w:ascii="Calibri"/>
                              <w:sz w:val="24"/>
                            </w:rPr>
                            <w:t>S</w:t>
                          </w:r>
                          <w:r>
                            <w:rPr>
                              <w:rFonts w:ascii="Calibri"/>
                              <w:spacing w:val="-2"/>
                              <w:sz w:val="24"/>
                            </w:rPr>
                            <w:t>e</w:t>
                          </w:r>
                          <w:r>
                            <w:rPr>
                              <w:rFonts w:ascii="Calibri"/>
                              <w:w w:val="99"/>
                              <w:sz w:val="24"/>
                            </w:rPr>
                            <w:t>r</w:t>
                          </w:r>
                          <w:r>
                            <w:rPr>
                              <w:rFonts w:ascii="Calibri"/>
                              <w:spacing w:val="-1"/>
                              <w:w w:val="99"/>
                              <w:sz w:val="24"/>
                            </w:rPr>
                            <w:t>v</w:t>
                          </w:r>
                          <w:r>
                            <w:rPr>
                              <w:rFonts w:ascii="Calibri"/>
                              <w:sz w:val="24"/>
                            </w:rPr>
                            <w:t>i</w:t>
                          </w:r>
                          <w:r>
                            <w:rPr>
                              <w:rFonts w:ascii="Calibri"/>
                              <w:spacing w:val="-1"/>
                              <w:sz w:val="24"/>
                            </w:rPr>
                            <w:t>c</w:t>
                          </w:r>
                          <w:r>
                            <w:rPr>
                              <w:rFonts w:ascii="Calibri"/>
                              <w:w w:val="99"/>
                              <w:sz w:val="24"/>
                            </w:rPr>
                            <w:t>e</w:t>
                          </w:r>
                          <w:r>
                            <w:rPr>
                              <w:rFonts w:ascii="Calibri"/>
                              <w:sz w:val="24"/>
                            </w:rPr>
                            <w:t xml:space="preserve">s </w:t>
                          </w:r>
                          <w:r>
                            <w:rPr>
                              <w:rFonts w:ascii="Calibri"/>
                              <w:spacing w:val="1"/>
                              <w:sz w:val="24"/>
                            </w:rPr>
                            <w:t>D</w:t>
                          </w:r>
                          <w:r>
                            <w:rPr>
                              <w:rFonts w:ascii="Calibri"/>
                              <w:w w:val="99"/>
                              <w:sz w:val="24"/>
                            </w:rPr>
                            <w:t>e</w:t>
                          </w:r>
                          <w:r>
                            <w:rPr>
                              <w:rFonts w:ascii="Calibri"/>
                              <w:spacing w:val="-2"/>
                              <w:sz w:val="24"/>
                            </w:rPr>
                            <w:t>p</w:t>
                          </w:r>
                          <w:r>
                            <w:rPr>
                              <w:rFonts w:ascii="Calibri"/>
                              <w:w w:val="99"/>
                              <w:sz w:val="24"/>
                            </w:rPr>
                            <w:t>ar</w:t>
                          </w:r>
                          <w:r>
                            <w:rPr>
                              <w:rFonts w:ascii="Calibri"/>
                              <w:spacing w:val="1"/>
                              <w:w w:val="99"/>
                              <w:sz w:val="24"/>
                            </w:rPr>
                            <w:t>t</w:t>
                          </w:r>
                          <w:r>
                            <w:rPr>
                              <w:rFonts w:ascii="Calibri"/>
                              <w:w w:val="99"/>
                              <w:sz w:val="24"/>
                            </w:rPr>
                            <w:t>m</w:t>
                          </w:r>
                          <w:r>
                            <w:rPr>
                              <w:rFonts w:ascii="Calibri"/>
                              <w:spacing w:val="-2"/>
                              <w:w w:val="99"/>
                              <w:sz w:val="24"/>
                            </w:rPr>
                            <w:t>e</w:t>
                          </w:r>
                          <w:r>
                            <w:rPr>
                              <w:rFonts w:ascii="Calibri"/>
                              <w:spacing w:val="1"/>
                              <w:sz w:val="24"/>
                            </w:rPr>
                            <w:t>n</w:t>
                          </w:r>
                          <w:r>
                            <w:rPr>
                              <w:rFonts w:ascii="Calibri"/>
                              <w:w w:val="99"/>
                              <w:sz w:val="24"/>
                            </w:rPr>
                            <w:t>t</w:t>
                          </w:r>
                        </w:p>
                        <w:p w:rsidR="000D64F3" w:rsidRPr="000D64F3" w:rsidRDefault="00987B46">
                          <w:pPr>
                            <w:spacing w:before="2"/>
                            <w:ind w:left="20"/>
                            <w:rPr>
                              <w:rFonts w:ascii="Calibri" w:eastAsia="Calibri" w:hAnsi="Calibri" w:cs="Calibri"/>
                              <w:szCs w:val="24"/>
                            </w:rPr>
                          </w:pPr>
                          <w:r>
                            <w:rPr>
                              <w:rFonts w:ascii="Calibri" w:eastAsia="Calibri" w:hAnsi="Calibri" w:cs="Calibri"/>
                              <w:szCs w:val="24"/>
                            </w:rPr>
                            <w:t>Rev. 8</w:t>
                          </w:r>
                          <w:r w:rsidR="00B709D0">
                            <w:rPr>
                              <w:rFonts w:ascii="Calibri" w:eastAsia="Calibri" w:hAnsi="Calibri" w:cs="Calibri"/>
                              <w:szCs w:val="24"/>
                            </w:rPr>
                            <w:t>-</w:t>
                          </w:r>
                          <w:r>
                            <w:rPr>
                              <w:rFonts w:ascii="Calibri" w:eastAsia="Calibri" w:hAnsi="Calibri" w:cs="Calibri"/>
                              <w:szCs w:val="24"/>
                            </w:rPr>
                            <w:t>04</w:t>
                          </w:r>
                          <w:r w:rsidR="000D64F3" w:rsidRPr="000D64F3">
                            <w:rPr>
                              <w:rFonts w:ascii="Calibri" w:eastAsia="Calibri" w:hAnsi="Calibri" w:cs="Calibri"/>
                              <w:szCs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866FD" id="_x0000_t202" coordsize="21600,21600" o:spt="202" path="m,l,21600r21600,l21600,xe">
              <v:stroke joinstyle="miter"/>
              <v:path gradientshapeok="t" o:connecttype="rect"/>
            </v:shapetype>
            <v:shape id="Text Box 19" o:spid="_x0000_s1026" type="#_x0000_t202" style="position:absolute;margin-left:52.8pt;margin-top:735pt;width:212.8pt;height:4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" filled="f" stroked="f">
              <v:textbox inset="0,0,0,0">
                <w:txbxContent>
                  <w:p w:rsidR="005D6192" w:rsidRDefault="00E20B34">
                    <w:pPr>
                      <w:spacing w:line="264" w:lineRule="exact"/>
                      <w:ind w:left="20"/>
                      <w:rPr>
                        <w:rFonts w:ascii="Calibri" w:eastAsia="Calibri" w:hAnsi="Calibri" w:cs="Calibri"/>
                        <w:sz w:val="24"/>
                        <w:szCs w:val="24"/>
                      </w:rPr>
                    </w:pPr>
                    <w:r>
                      <w:rPr>
                        <w:rFonts w:ascii="Calibri"/>
                        <w:w w:val="99"/>
                        <w:sz w:val="24"/>
                      </w:rPr>
                      <w:t>201</w:t>
                    </w:r>
                    <w:r w:rsidR="00951247">
                      <w:rPr>
                        <w:rFonts w:ascii="Calibri"/>
                        <w:w w:val="99"/>
                        <w:sz w:val="24"/>
                      </w:rPr>
                      <w:t>6</w:t>
                    </w:r>
                    <w:r>
                      <w:rPr>
                        <w:rFonts w:ascii="Calibri"/>
                        <w:spacing w:val="-1"/>
                        <w:sz w:val="24"/>
                      </w:rPr>
                      <w:t xml:space="preserve"> </w:t>
                    </w:r>
                    <w:r>
                      <w:rPr>
                        <w:rFonts w:ascii="Calibri"/>
                        <w:spacing w:val="1"/>
                        <w:w w:val="99"/>
                        <w:sz w:val="24"/>
                      </w:rPr>
                      <w:t>N</w:t>
                    </w:r>
                    <w:r>
                      <w:rPr>
                        <w:rFonts w:ascii="Calibri"/>
                        <w:spacing w:val="-2"/>
                        <w:sz w:val="24"/>
                      </w:rPr>
                      <w:t>o</w:t>
                    </w:r>
                    <w:r>
                      <w:rPr>
                        <w:rFonts w:ascii="Calibri"/>
                        <w:spacing w:val="1"/>
                        <w:sz w:val="24"/>
                      </w:rPr>
                      <w:t>t</w:t>
                    </w:r>
                    <w:r>
                      <w:rPr>
                        <w:rFonts w:ascii="Calibri"/>
                        <w:sz w:val="24"/>
                      </w:rPr>
                      <w:t>i</w:t>
                    </w:r>
                    <w:r>
                      <w:rPr>
                        <w:rFonts w:ascii="Calibri"/>
                        <w:spacing w:val="-1"/>
                        <w:w w:val="99"/>
                        <w:sz w:val="24"/>
                      </w:rPr>
                      <w:t>c</w:t>
                    </w:r>
                    <w:r>
                      <w:rPr>
                        <w:rFonts w:ascii="Calibri"/>
                        <w:w w:val="99"/>
                        <w:sz w:val="24"/>
                      </w:rPr>
                      <w:t>e</w:t>
                    </w:r>
                    <w:r>
                      <w:rPr>
                        <w:rFonts w:ascii="Calibri"/>
                        <w:spacing w:val="-1"/>
                        <w:sz w:val="24"/>
                      </w:rPr>
                      <w:t xml:space="preserve"> </w:t>
                    </w:r>
                    <w:r>
                      <w:rPr>
                        <w:rFonts w:ascii="Calibri"/>
                        <w:sz w:val="24"/>
                      </w:rPr>
                      <w:t>of</w:t>
                    </w:r>
                    <w:r>
                      <w:rPr>
                        <w:rFonts w:ascii="Calibri"/>
                        <w:spacing w:val="2"/>
                        <w:sz w:val="24"/>
                      </w:rPr>
                      <w:t xml:space="preserve"> </w:t>
                    </w:r>
                    <w:r>
                      <w:rPr>
                        <w:rFonts w:ascii="Calibri"/>
                        <w:spacing w:val="-3"/>
                        <w:sz w:val="24"/>
                      </w:rPr>
                      <w:t>F</w:t>
                    </w:r>
                    <w:r>
                      <w:rPr>
                        <w:rFonts w:ascii="Calibri"/>
                        <w:spacing w:val="1"/>
                        <w:sz w:val="24"/>
                      </w:rPr>
                      <w:t>u</w:t>
                    </w:r>
                    <w:r>
                      <w:rPr>
                        <w:rFonts w:ascii="Calibri"/>
                        <w:spacing w:val="-2"/>
                        <w:sz w:val="24"/>
                      </w:rPr>
                      <w:t>n</w:t>
                    </w:r>
                    <w:r>
                      <w:rPr>
                        <w:rFonts w:ascii="Calibri"/>
                        <w:spacing w:val="1"/>
                        <w:sz w:val="24"/>
                      </w:rPr>
                      <w:t>d</w:t>
                    </w:r>
                    <w:r>
                      <w:rPr>
                        <w:rFonts w:ascii="Calibri"/>
                        <w:sz w:val="24"/>
                      </w:rPr>
                      <w:t>i</w:t>
                    </w:r>
                    <w:r>
                      <w:rPr>
                        <w:rFonts w:ascii="Calibri"/>
                        <w:spacing w:val="1"/>
                        <w:sz w:val="24"/>
                      </w:rPr>
                      <w:t>n</w:t>
                    </w:r>
                    <w:r>
                      <w:rPr>
                        <w:rFonts w:ascii="Calibri"/>
                        <w:sz w:val="24"/>
                      </w:rPr>
                      <w:t>g</w:t>
                    </w:r>
                    <w:r>
                      <w:rPr>
                        <w:rFonts w:ascii="Calibri"/>
                        <w:spacing w:val="-4"/>
                        <w:sz w:val="24"/>
                      </w:rPr>
                      <w:t xml:space="preserve"> </w:t>
                    </w:r>
                    <w:r>
                      <w:rPr>
                        <w:rFonts w:ascii="Calibri"/>
                        <w:w w:val="99"/>
                        <w:sz w:val="24"/>
                      </w:rPr>
                      <w:t>A</w:t>
                    </w:r>
                    <w:r>
                      <w:rPr>
                        <w:rFonts w:ascii="Calibri"/>
                        <w:spacing w:val="-1"/>
                        <w:w w:val="99"/>
                        <w:sz w:val="24"/>
                      </w:rPr>
                      <w:t>v</w:t>
                    </w:r>
                    <w:r>
                      <w:rPr>
                        <w:rFonts w:ascii="Calibri"/>
                        <w:sz w:val="24"/>
                      </w:rPr>
                      <w:t>ailabili</w:t>
                    </w:r>
                    <w:r>
                      <w:rPr>
                        <w:rFonts w:ascii="Calibri"/>
                        <w:spacing w:val="1"/>
                        <w:sz w:val="24"/>
                      </w:rPr>
                      <w:t>t</w:t>
                    </w:r>
                    <w:r>
                      <w:rPr>
                        <w:rFonts w:ascii="Calibri"/>
                        <w:w w:val="99"/>
                        <w:sz w:val="24"/>
                      </w:rPr>
                      <w:t>y</w:t>
                    </w:r>
                  </w:p>
                  <w:p w:rsidR="005D6192" w:rsidRDefault="00E20B34">
                    <w:pPr>
                      <w:spacing w:before="2"/>
                      <w:ind w:left="20"/>
                      <w:rPr>
                        <w:rFonts w:ascii="Calibri"/>
                        <w:w w:val="99"/>
                        <w:sz w:val="24"/>
                      </w:rPr>
                    </w:pPr>
                    <w:r>
                      <w:rPr>
                        <w:rFonts w:ascii="Calibri"/>
                        <w:spacing w:val="-1"/>
                        <w:sz w:val="24"/>
                      </w:rPr>
                      <w:t>C</w:t>
                    </w:r>
                    <w:r>
                      <w:rPr>
                        <w:rFonts w:ascii="Calibri"/>
                        <w:sz w:val="24"/>
                      </w:rPr>
                      <w:t>i</w:t>
                    </w:r>
                    <w:r>
                      <w:rPr>
                        <w:rFonts w:ascii="Calibri"/>
                        <w:spacing w:val="1"/>
                        <w:sz w:val="24"/>
                      </w:rPr>
                      <w:t>t</w:t>
                    </w:r>
                    <w:r>
                      <w:rPr>
                        <w:rFonts w:ascii="Calibri"/>
                        <w:w w:val="99"/>
                        <w:sz w:val="24"/>
                      </w:rPr>
                      <w:t>y</w:t>
                    </w:r>
                    <w:r>
                      <w:rPr>
                        <w:rFonts w:ascii="Calibri"/>
                        <w:sz w:val="24"/>
                      </w:rPr>
                      <w:t xml:space="preserve"> of</w:t>
                    </w:r>
                    <w:r>
                      <w:rPr>
                        <w:rFonts w:ascii="Calibri"/>
                        <w:spacing w:val="-1"/>
                        <w:sz w:val="24"/>
                      </w:rPr>
                      <w:t xml:space="preserve"> </w:t>
                    </w:r>
                    <w:r>
                      <w:rPr>
                        <w:rFonts w:ascii="Calibri"/>
                        <w:sz w:val="24"/>
                      </w:rPr>
                      <w:t>Sea</w:t>
                    </w:r>
                    <w:r>
                      <w:rPr>
                        <w:rFonts w:ascii="Calibri"/>
                        <w:spacing w:val="-2"/>
                        <w:sz w:val="24"/>
                      </w:rPr>
                      <w:t>t</w:t>
                    </w:r>
                    <w:r>
                      <w:rPr>
                        <w:rFonts w:ascii="Calibri"/>
                        <w:spacing w:val="1"/>
                        <w:w w:val="99"/>
                        <w:sz w:val="24"/>
                      </w:rPr>
                      <w:t>t</w:t>
                    </w:r>
                    <w:r>
                      <w:rPr>
                        <w:rFonts w:ascii="Calibri"/>
                        <w:sz w:val="24"/>
                      </w:rPr>
                      <w:t>le</w:t>
                    </w:r>
                    <w:r>
                      <w:rPr>
                        <w:rFonts w:ascii="Calibri"/>
                        <w:spacing w:val="-1"/>
                        <w:sz w:val="24"/>
                      </w:rPr>
                      <w:t xml:space="preserve"> H</w:t>
                    </w:r>
                    <w:r>
                      <w:rPr>
                        <w:rFonts w:ascii="Calibri"/>
                        <w:spacing w:val="1"/>
                        <w:sz w:val="24"/>
                      </w:rPr>
                      <w:t>u</w:t>
                    </w:r>
                    <w:r>
                      <w:rPr>
                        <w:rFonts w:ascii="Calibri"/>
                        <w:sz w:val="24"/>
                      </w:rPr>
                      <w:t>man</w:t>
                    </w:r>
                    <w:r>
                      <w:rPr>
                        <w:rFonts w:ascii="Calibri"/>
                        <w:spacing w:val="-1"/>
                        <w:sz w:val="24"/>
                      </w:rPr>
                      <w:t xml:space="preserve"> </w:t>
                    </w:r>
                    <w:r>
                      <w:rPr>
                        <w:rFonts w:ascii="Calibri"/>
                        <w:sz w:val="24"/>
                      </w:rPr>
                      <w:t>S</w:t>
                    </w:r>
                    <w:r>
                      <w:rPr>
                        <w:rFonts w:ascii="Calibri"/>
                        <w:spacing w:val="-2"/>
                        <w:sz w:val="24"/>
                      </w:rPr>
                      <w:t>e</w:t>
                    </w:r>
                    <w:r>
                      <w:rPr>
                        <w:rFonts w:ascii="Calibri"/>
                        <w:w w:val="99"/>
                        <w:sz w:val="24"/>
                      </w:rPr>
                      <w:t>r</w:t>
                    </w:r>
                    <w:r>
                      <w:rPr>
                        <w:rFonts w:ascii="Calibri"/>
                        <w:spacing w:val="-1"/>
                        <w:w w:val="99"/>
                        <w:sz w:val="24"/>
                      </w:rPr>
                      <w:t>v</w:t>
                    </w:r>
                    <w:r>
                      <w:rPr>
                        <w:rFonts w:ascii="Calibri"/>
                        <w:sz w:val="24"/>
                      </w:rPr>
                      <w:t>i</w:t>
                    </w:r>
                    <w:r>
                      <w:rPr>
                        <w:rFonts w:ascii="Calibri"/>
                        <w:spacing w:val="-1"/>
                        <w:sz w:val="24"/>
                      </w:rPr>
                      <w:t>c</w:t>
                    </w:r>
                    <w:r>
                      <w:rPr>
                        <w:rFonts w:ascii="Calibri"/>
                        <w:w w:val="99"/>
                        <w:sz w:val="24"/>
                      </w:rPr>
                      <w:t>e</w:t>
                    </w:r>
                    <w:r>
                      <w:rPr>
                        <w:rFonts w:ascii="Calibri"/>
                        <w:sz w:val="24"/>
                      </w:rPr>
                      <w:t xml:space="preserve">s </w:t>
                    </w:r>
                    <w:r>
                      <w:rPr>
                        <w:rFonts w:ascii="Calibri"/>
                        <w:spacing w:val="1"/>
                        <w:sz w:val="24"/>
                      </w:rPr>
                      <w:t>D</w:t>
                    </w:r>
                    <w:r>
                      <w:rPr>
                        <w:rFonts w:ascii="Calibri"/>
                        <w:w w:val="99"/>
                        <w:sz w:val="24"/>
                      </w:rPr>
                      <w:t>e</w:t>
                    </w:r>
                    <w:r>
                      <w:rPr>
                        <w:rFonts w:ascii="Calibri"/>
                        <w:spacing w:val="-2"/>
                        <w:sz w:val="24"/>
                      </w:rPr>
                      <w:t>p</w:t>
                    </w:r>
                    <w:r>
                      <w:rPr>
                        <w:rFonts w:ascii="Calibri"/>
                        <w:w w:val="99"/>
                        <w:sz w:val="24"/>
                      </w:rPr>
                      <w:t>ar</w:t>
                    </w:r>
                    <w:r>
                      <w:rPr>
                        <w:rFonts w:ascii="Calibri"/>
                        <w:spacing w:val="1"/>
                        <w:w w:val="99"/>
                        <w:sz w:val="24"/>
                      </w:rPr>
                      <w:t>t</w:t>
                    </w:r>
                    <w:r>
                      <w:rPr>
                        <w:rFonts w:ascii="Calibri"/>
                        <w:w w:val="99"/>
                        <w:sz w:val="24"/>
                      </w:rPr>
                      <w:t>m</w:t>
                    </w:r>
                    <w:r>
                      <w:rPr>
                        <w:rFonts w:ascii="Calibri"/>
                        <w:spacing w:val="-2"/>
                        <w:w w:val="99"/>
                        <w:sz w:val="24"/>
                      </w:rPr>
                      <w:t>e</w:t>
                    </w:r>
                    <w:r>
                      <w:rPr>
                        <w:rFonts w:ascii="Calibri"/>
                        <w:spacing w:val="1"/>
                        <w:sz w:val="24"/>
                      </w:rPr>
                      <w:t>n</w:t>
                    </w:r>
                    <w:r>
                      <w:rPr>
                        <w:rFonts w:ascii="Calibri"/>
                        <w:w w:val="99"/>
                        <w:sz w:val="24"/>
                      </w:rPr>
                      <w:t>t</w:t>
                    </w:r>
                  </w:p>
                  <w:p w:rsidR="000D64F3" w:rsidRPr="000D64F3" w:rsidRDefault="00987B46">
                    <w:pPr>
                      <w:spacing w:before="2"/>
                      <w:ind w:left="20"/>
                      <w:rPr>
                        <w:rFonts w:ascii="Calibri" w:eastAsia="Calibri" w:hAnsi="Calibri" w:cs="Calibri"/>
                        <w:szCs w:val="24"/>
                      </w:rPr>
                    </w:pPr>
                    <w:r>
                      <w:rPr>
                        <w:rFonts w:ascii="Calibri" w:eastAsia="Calibri" w:hAnsi="Calibri" w:cs="Calibri"/>
                        <w:szCs w:val="24"/>
                      </w:rPr>
                      <w:t>Rev. 8</w:t>
                    </w:r>
                    <w:r w:rsidR="00B709D0">
                      <w:rPr>
                        <w:rFonts w:ascii="Calibri" w:eastAsia="Calibri" w:hAnsi="Calibri" w:cs="Calibri"/>
                        <w:szCs w:val="24"/>
                      </w:rPr>
                      <w:t>-</w:t>
                    </w:r>
                    <w:r>
                      <w:rPr>
                        <w:rFonts w:ascii="Calibri" w:eastAsia="Calibri" w:hAnsi="Calibri" w:cs="Calibri"/>
                        <w:szCs w:val="24"/>
                      </w:rPr>
                      <w:t>04</w:t>
                    </w:r>
                    <w:r w:rsidR="000D64F3" w:rsidRPr="000D64F3">
                      <w:rPr>
                        <w:rFonts w:ascii="Calibri" w:eastAsia="Calibri" w:hAnsi="Calibri" w:cs="Calibri"/>
                        <w:szCs w:val="24"/>
                      </w:rPr>
                      <w:t>-16</w:t>
                    </w:r>
                  </w:p>
                </w:txbxContent>
              </v:textbox>
              <w10:wrap anchorx="page" anchory="page"/>
            </v:shape>
          </w:pict>
        </mc:Fallback>
      </mc:AlternateContent>
    </w:r>
    <w:r w:rsidR="00951247">
      <w:rPr>
        <w:noProof/>
      </w:rPr>
      <mc:AlternateContent>
        <mc:Choice Requires="wpg">
          <w:drawing>
            <wp:anchor distT="0" distB="0" distL="114300" distR="114300" simplePos="0" relativeHeight="251659264" behindDoc="1" locked="0" layoutInCell="1" allowOverlap="1" wp14:anchorId="39B1D222" wp14:editId="75D72436">
              <wp:simplePos x="0" y="0"/>
              <wp:positionH relativeFrom="page">
                <wp:posOffset>667385</wp:posOffset>
              </wp:positionH>
              <wp:positionV relativeFrom="page">
                <wp:posOffset>9302750</wp:posOffset>
              </wp:positionV>
              <wp:extent cx="6437630" cy="1270"/>
              <wp:effectExtent l="10160" t="635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14650"/>
                        <a:chExt cx="10138" cy="2"/>
                      </a:xfrm>
                    </wpg:grpSpPr>
                    <wps:wsp>
                      <wps:cNvPr id="23" name="Freeform 2"/>
                      <wps:cNvSpPr>
                        <a:spLocks/>
                      </wps:cNvSpPr>
                      <wps:spPr bwMode="auto">
                        <a:xfrm>
                          <a:off x="1051" y="14650"/>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92104" id="Group 22" o:spid="_x0000_s1026" style="position:absolute;margin-left:52.55pt;margin-top:732.5pt;width:506.9pt;height:.1pt;z-index:-251657216;mso-position-horizontal-relative:page;mso-position-vertical-relative:page" coordorigin="1051,14650"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">
              <v:shape id="Freeform 2" o:spid="_x0000_s1027" style="position:absolute;left:1051;top:14650;width:10138;height:2;visibility:visible;mso-wrap-style:square;v-text-anchor:top" coordsize="10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VKcUA&#10;AADbAAAADwAAAGRycy9kb3ducmV2LnhtbESPQWvCQBSE74L/YXmCN900ipTUVWqgUFIvTQvS2yP7&#10;mqRm38bsNon/3hUKPQ4z8w2z3Y+mET11rras4GEZgSAurK65VPD58bJ4BOE8ssbGMim4koP9bjrZ&#10;YqLtwO/U574UAcIuQQWV920ipSsqMuiWtiUO3rftDPogu1LqDocAN42Mo2gjDdYcFipsKa2oOOe/&#10;RsGQ6svbaX2Ua5edv/IfvRlOh0yp+Wx8fgLhafT/4b/2q1YQr+D+JfwAu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tUpxQAAANsAAAAPAAAAAAAAAAAAAAAAAJgCAABkcnMv&#10;ZG93bnJldi54bWxQSwUGAAAAAAQABAD1AAAAigMAAAAA&#10;" path="m,l10138,e" filled="f" strokecolor="#622423" strokeweight=".72pt">
                <v:path arrowok="t" o:connecttype="custom" o:connectlocs="0,0;10138,0" o:connectangles="0,0"/>
              </v:shape>
              <w10:wrap anchorx="page" anchory="page"/>
            </v:group>
          </w:pict>
        </mc:Fallback>
      </mc:AlternateContent>
    </w:r>
    <w:r w:rsidR="00951247">
      <w:rPr>
        <w:noProof/>
      </w:rPr>
      <mc:AlternateContent>
        <mc:Choice Requires="wpg">
          <w:drawing>
            <wp:anchor distT="0" distB="0" distL="114300" distR="114300" simplePos="0" relativeHeight="251660288" behindDoc="1" locked="0" layoutInCell="1" allowOverlap="1" wp14:anchorId="59951EDB" wp14:editId="48CD9F7C">
              <wp:simplePos x="0" y="0"/>
              <wp:positionH relativeFrom="page">
                <wp:posOffset>667385</wp:posOffset>
              </wp:positionH>
              <wp:positionV relativeFrom="page">
                <wp:posOffset>9269730</wp:posOffset>
              </wp:positionV>
              <wp:extent cx="6437630" cy="1270"/>
              <wp:effectExtent l="19685" t="20955" r="19685" b="254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14598"/>
                        <a:chExt cx="10138" cy="2"/>
                      </a:xfrm>
                    </wpg:grpSpPr>
                    <wps:wsp>
                      <wps:cNvPr id="21" name="Freeform 4"/>
                      <wps:cNvSpPr>
                        <a:spLocks/>
                      </wps:cNvSpPr>
                      <wps:spPr bwMode="auto">
                        <a:xfrm>
                          <a:off x="1051" y="14598"/>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EE425" id="Group 20" o:spid="_x0000_s1026" style="position:absolute;margin-left:52.55pt;margin-top:729.9pt;width:506.9pt;height:.1pt;z-index:-251656192;mso-position-horizontal-relative:page;mso-position-vertical-relative:page" coordorigin="1051,14598"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">
              <v:shape id="Freeform 4" o:spid="_x0000_s1027" style="position:absolute;left:1051;top:14598;width:10138;height:2;visibility:visible;mso-wrap-style:square;v-text-anchor:top" coordsize="10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0G8EA&#10;AADbAAAADwAAAGRycy9kb3ducmV2LnhtbESP3WoCMRSE7wt9h3AKvatZlyKyGiUURK/Evwc4JKe7&#10;0c3Jsom6vr0pFLwcZuYbZr4cfCtu1EcXWMF4VIAgNsE6rhWcjquvKYiYkC22gUnBgyIsF+9vc6xs&#10;uPOebodUiwzhWKGCJqWukjKahjzGUeiIs/cbeo8py76Wtsd7hvtWlkUxkR4d54UGO/ppyFwOV6/g&#10;kvS+3K3dOWpjTtvvs9ba1Up9fgx6BiLRkF7h//bGKijH8Pcl/w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MtBvBAAAA2wAAAA8AAAAAAAAAAAAAAAAAmAIAAGRycy9kb3du&#10;cmV2LnhtbFBLBQYAAAAABAAEAPUAAACGAwAAAAA=&#10;" path="m,l10138,e" filled="f" strokecolor="#622423" strokeweight="3pt">
                <v:path arrowok="t" o:connecttype="custom" o:connectlocs="0,0;10138,0" o:connectangles="0,0"/>
              </v:shape>
              <w10:wrap anchorx="page" anchory="page"/>
            </v:group>
          </w:pict>
        </mc:Fallback>
      </mc:AlternateContent>
    </w:r>
    <w:r w:rsidR="00951247">
      <w:rPr>
        <w:noProof/>
      </w:rPr>
      <mc:AlternateContent>
        <mc:Choice Requires="wps">
          <w:drawing>
            <wp:anchor distT="0" distB="0" distL="114300" distR="114300" simplePos="0" relativeHeight="251662336" behindDoc="1" locked="0" layoutInCell="1" allowOverlap="1" wp14:anchorId="136C2F6B" wp14:editId="3863C768">
              <wp:simplePos x="0" y="0"/>
              <wp:positionH relativeFrom="page">
                <wp:posOffset>6662420</wp:posOffset>
              </wp:positionH>
              <wp:positionV relativeFrom="page">
                <wp:posOffset>9337040</wp:posOffset>
              </wp:positionV>
              <wp:extent cx="450850" cy="177800"/>
              <wp:effectExtent l="4445" t="2540" r="190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192" w:rsidRDefault="00E20B34">
                          <w:pPr>
                            <w:spacing w:line="264" w:lineRule="exact"/>
                            <w:ind w:left="20"/>
                            <w:rPr>
                              <w:rFonts w:ascii="Calibri" w:eastAsia="Calibri" w:hAnsi="Calibri" w:cs="Calibri"/>
                              <w:sz w:val="24"/>
                              <w:szCs w:val="24"/>
                            </w:rPr>
                          </w:pPr>
                          <w:r>
                            <w:rPr>
                              <w:rFonts w:ascii="Calibri"/>
                              <w:w w:val="99"/>
                              <w:sz w:val="24"/>
                            </w:rPr>
                            <w:t>P</w:t>
                          </w:r>
                          <w:r>
                            <w:rPr>
                              <w:rFonts w:ascii="Calibri"/>
                              <w:sz w:val="24"/>
                            </w:rPr>
                            <w:t>a</w:t>
                          </w:r>
                          <w:r>
                            <w:rPr>
                              <w:rFonts w:ascii="Calibri"/>
                              <w:spacing w:val="-1"/>
                              <w:w w:val="99"/>
                              <w:sz w:val="24"/>
                            </w:rPr>
                            <w:t>g</w:t>
                          </w:r>
                          <w:r>
                            <w:rPr>
                              <w:rFonts w:ascii="Calibri"/>
                              <w:w w:val="99"/>
                              <w:sz w:val="24"/>
                            </w:rPr>
                            <w:t>e</w:t>
                          </w:r>
                          <w:r>
                            <w:rPr>
                              <w:rFonts w:ascii="Calibri"/>
                              <w:spacing w:val="1"/>
                              <w:sz w:val="24"/>
                            </w:rPr>
                            <w:t xml:space="preserve"> </w:t>
                          </w:r>
                          <w:r>
                            <w:fldChar w:fldCharType="begin"/>
                          </w:r>
                          <w:r>
                            <w:rPr>
                              <w:rFonts w:ascii="Calibri"/>
                              <w:w w:val="99"/>
                              <w:sz w:val="24"/>
                            </w:rPr>
                            <w:instrText xml:space="preserve"> PAGE </w:instrText>
                          </w:r>
                          <w:r>
                            <w:fldChar w:fldCharType="separate"/>
                          </w:r>
                          <w:r w:rsidR="008854F2">
                            <w:rPr>
                              <w:rFonts w:ascii="Calibri"/>
                              <w:noProof/>
                              <w:w w:val="99"/>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C2F6B" id="_x0000_t202" coordsize="21600,21600" o:spt="202" path="m,l,21600r21600,l21600,xe">
              <v:stroke joinstyle="miter"/>
              <v:path gradientshapeok="t" o:connecttype="rect"/>
            </v:shapetype>
            <v:shape id="Text Box 18" o:spid="_x0000_s1027" type="#_x0000_t202" style="position:absolute;margin-left:524.6pt;margin-top:735.2pt;width:35.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" filled="f" stroked="f">
              <v:textbox inset="0,0,0,0">
                <w:txbxContent>
                  <w:p w:rsidR="005D6192" w:rsidRDefault="00E20B34">
                    <w:pPr>
                      <w:spacing w:line="264" w:lineRule="exact"/>
                      <w:ind w:left="20"/>
                      <w:rPr>
                        <w:rFonts w:ascii="Calibri" w:eastAsia="Calibri" w:hAnsi="Calibri" w:cs="Calibri"/>
                        <w:sz w:val="24"/>
                        <w:szCs w:val="24"/>
                      </w:rPr>
                    </w:pPr>
                    <w:r>
                      <w:rPr>
                        <w:rFonts w:ascii="Calibri"/>
                        <w:w w:val="99"/>
                        <w:sz w:val="24"/>
                      </w:rPr>
                      <w:t>P</w:t>
                    </w:r>
                    <w:r>
                      <w:rPr>
                        <w:rFonts w:ascii="Calibri"/>
                        <w:sz w:val="24"/>
                      </w:rPr>
                      <w:t>a</w:t>
                    </w:r>
                    <w:r>
                      <w:rPr>
                        <w:rFonts w:ascii="Calibri"/>
                        <w:spacing w:val="-1"/>
                        <w:w w:val="99"/>
                        <w:sz w:val="24"/>
                      </w:rPr>
                      <w:t>g</w:t>
                    </w:r>
                    <w:r>
                      <w:rPr>
                        <w:rFonts w:ascii="Calibri"/>
                        <w:w w:val="99"/>
                        <w:sz w:val="24"/>
                      </w:rPr>
                      <w:t>e</w:t>
                    </w:r>
                    <w:r>
                      <w:rPr>
                        <w:rFonts w:ascii="Calibri"/>
                        <w:spacing w:val="1"/>
                        <w:sz w:val="24"/>
                      </w:rPr>
                      <w:t xml:space="preserve"> </w:t>
                    </w:r>
                    <w:r>
                      <w:fldChar w:fldCharType="begin"/>
                    </w:r>
                    <w:r>
                      <w:rPr>
                        <w:rFonts w:ascii="Calibri"/>
                        <w:w w:val="99"/>
                        <w:sz w:val="24"/>
                      </w:rPr>
                      <w:instrText xml:space="preserve"> PAGE </w:instrText>
                    </w:r>
                    <w:r>
                      <w:fldChar w:fldCharType="separate"/>
                    </w:r>
                    <w:r w:rsidR="008854F2">
                      <w:rPr>
                        <w:rFonts w:ascii="Calibri"/>
                        <w:noProof/>
                        <w:w w:val="99"/>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A5" w:rsidRDefault="00BB1EA5" w:rsidP="00951247">
      <w:r>
        <w:separator/>
      </w:r>
    </w:p>
  </w:footnote>
  <w:footnote w:type="continuationSeparator" w:id="0">
    <w:p w:rsidR="00BB1EA5" w:rsidRDefault="00BB1EA5" w:rsidP="00951247">
      <w:r>
        <w:continuationSeparator/>
      </w:r>
    </w:p>
  </w:footnote>
  <w:footnote w:id="1">
    <w:p w:rsidR="00F35B91" w:rsidRDefault="00F35B91">
      <w:pPr>
        <w:pStyle w:val="FootnoteText"/>
      </w:pPr>
      <w:r>
        <w:rPr>
          <w:rStyle w:val="FootnoteReference"/>
        </w:rPr>
        <w:footnoteRef/>
      </w:r>
      <w:r>
        <w:t xml:space="preserve"> These are estimated funding process release dates and are subject to change. Please visit HSD’s </w:t>
      </w:r>
      <w:hyperlink r:id="rId1" w:history="1">
        <w:r w:rsidR="008B187D" w:rsidRPr="008B187D">
          <w:rPr>
            <w:rStyle w:val="Hyperlink"/>
          </w:rPr>
          <w:t>website</w:t>
        </w:r>
      </w:hyperlink>
      <w:r>
        <w:t xml:space="preserve"> regularly for formal announcement of each funding opportunity.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C5762"/>
    <w:multiLevelType w:val="hybridMultilevel"/>
    <w:tmpl w:val="9E6ACA24"/>
    <w:lvl w:ilvl="0" w:tplc="CBCE3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3729FC"/>
    <w:multiLevelType w:val="hybridMultilevel"/>
    <w:tmpl w:val="55109964"/>
    <w:lvl w:ilvl="0" w:tplc="27B0CFF6">
      <w:start w:val="1"/>
      <w:numFmt w:val="decimal"/>
      <w:lvlText w:val="%1."/>
      <w:lvlJc w:val="left"/>
      <w:pPr>
        <w:ind w:left="1560" w:hanging="360"/>
      </w:pPr>
      <w:rPr>
        <w:rFonts w:ascii="Calibri" w:eastAsia="Calibri" w:hAnsi="Calibri" w:hint="default"/>
        <w:b/>
        <w:bCs/>
        <w:w w:val="99"/>
        <w:sz w:val="24"/>
        <w:szCs w:val="24"/>
      </w:rPr>
    </w:lvl>
    <w:lvl w:ilvl="1" w:tplc="7C345582">
      <w:start w:val="1"/>
      <w:numFmt w:val="bullet"/>
      <w:lvlText w:val="•"/>
      <w:lvlJc w:val="left"/>
      <w:pPr>
        <w:ind w:left="2508" w:hanging="360"/>
      </w:pPr>
      <w:rPr>
        <w:rFonts w:hint="default"/>
      </w:rPr>
    </w:lvl>
    <w:lvl w:ilvl="2" w:tplc="D1A689A4">
      <w:start w:val="1"/>
      <w:numFmt w:val="bullet"/>
      <w:lvlText w:val="•"/>
      <w:lvlJc w:val="left"/>
      <w:pPr>
        <w:ind w:left="3456" w:hanging="360"/>
      </w:pPr>
      <w:rPr>
        <w:rFonts w:hint="default"/>
      </w:rPr>
    </w:lvl>
    <w:lvl w:ilvl="3" w:tplc="F092AF68">
      <w:start w:val="1"/>
      <w:numFmt w:val="bullet"/>
      <w:lvlText w:val="•"/>
      <w:lvlJc w:val="left"/>
      <w:pPr>
        <w:ind w:left="4404" w:hanging="360"/>
      </w:pPr>
      <w:rPr>
        <w:rFonts w:hint="default"/>
      </w:rPr>
    </w:lvl>
    <w:lvl w:ilvl="4" w:tplc="B8B6B0F4">
      <w:start w:val="1"/>
      <w:numFmt w:val="bullet"/>
      <w:lvlText w:val="•"/>
      <w:lvlJc w:val="left"/>
      <w:pPr>
        <w:ind w:left="5352" w:hanging="360"/>
      </w:pPr>
      <w:rPr>
        <w:rFonts w:hint="default"/>
      </w:rPr>
    </w:lvl>
    <w:lvl w:ilvl="5" w:tplc="192299EC">
      <w:start w:val="1"/>
      <w:numFmt w:val="bullet"/>
      <w:lvlText w:val="•"/>
      <w:lvlJc w:val="left"/>
      <w:pPr>
        <w:ind w:left="6300" w:hanging="360"/>
      </w:pPr>
      <w:rPr>
        <w:rFonts w:hint="default"/>
      </w:rPr>
    </w:lvl>
    <w:lvl w:ilvl="6" w:tplc="8516FB3A">
      <w:start w:val="1"/>
      <w:numFmt w:val="bullet"/>
      <w:lvlText w:val="•"/>
      <w:lvlJc w:val="left"/>
      <w:pPr>
        <w:ind w:left="7248" w:hanging="360"/>
      </w:pPr>
      <w:rPr>
        <w:rFonts w:hint="default"/>
      </w:rPr>
    </w:lvl>
    <w:lvl w:ilvl="7" w:tplc="A87C33B2">
      <w:start w:val="1"/>
      <w:numFmt w:val="bullet"/>
      <w:lvlText w:val="•"/>
      <w:lvlJc w:val="left"/>
      <w:pPr>
        <w:ind w:left="8196" w:hanging="360"/>
      </w:pPr>
      <w:rPr>
        <w:rFonts w:hint="default"/>
      </w:rPr>
    </w:lvl>
    <w:lvl w:ilvl="8" w:tplc="9032492C">
      <w:start w:val="1"/>
      <w:numFmt w:val="bullet"/>
      <w:lvlText w:val="•"/>
      <w:lvlJc w:val="left"/>
      <w:pPr>
        <w:ind w:left="9144" w:hanging="360"/>
      </w:pPr>
      <w:rPr>
        <w:rFonts w:hint="default"/>
      </w:rPr>
    </w:lvl>
  </w:abstractNum>
  <w:abstractNum w:abstractNumId="2" w15:restartNumberingAfterBreak="0">
    <w:nsid w:val="6C485698"/>
    <w:multiLevelType w:val="hybridMultilevel"/>
    <w:tmpl w:val="85E04874"/>
    <w:lvl w:ilvl="0" w:tplc="EC5C145E">
      <w:start w:val="1"/>
      <w:numFmt w:val="bullet"/>
      <w:lvlText w:val=""/>
      <w:lvlJc w:val="left"/>
      <w:pPr>
        <w:ind w:left="1160" w:hanging="361"/>
      </w:pPr>
      <w:rPr>
        <w:rFonts w:ascii="Symbol" w:eastAsia="Symbol" w:hAnsi="Symbol" w:hint="default"/>
        <w:w w:val="100"/>
        <w:sz w:val="22"/>
        <w:szCs w:val="22"/>
      </w:rPr>
    </w:lvl>
    <w:lvl w:ilvl="1" w:tplc="D6B80454">
      <w:start w:val="1"/>
      <w:numFmt w:val="bullet"/>
      <w:lvlText w:val="•"/>
      <w:lvlJc w:val="left"/>
      <w:pPr>
        <w:ind w:left="2142" w:hanging="361"/>
      </w:pPr>
      <w:rPr>
        <w:rFonts w:hint="default"/>
      </w:rPr>
    </w:lvl>
    <w:lvl w:ilvl="2" w:tplc="7F1A7E86">
      <w:start w:val="1"/>
      <w:numFmt w:val="bullet"/>
      <w:lvlText w:val="•"/>
      <w:lvlJc w:val="left"/>
      <w:pPr>
        <w:ind w:left="3124" w:hanging="361"/>
      </w:pPr>
      <w:rPr>
        <w:rFonts w:hint="default"/>
      </w:rPr>
    </w:lvl>
    <w:lvl w:ilvl="3" w:tplc="43A6BAB6">
      <w:start w:val="1"/>
      <w:numFmt w:val="bullet"/>
      <w:lvlText w:val="•"/>
      <w:lvlJc w:val="left"/>
      <w:pPr>
        <w:ind w:left="4106" w:hanging="361"/>
      </w:pPr>
      <w:rPr>
        <w:rFonts w:hint="default"/>
      </w:rPr>
    </w:lvl>
    <w:lvl w:ilvl="4" w:tplc="716E17DA">
      <w:start w:val="1"/>
      <w:numFmt w:val="bullet"/>
      <w:lvlText w:val="•"/>
      <w:lvlJc w:val="left"/>
      <w:pPr>
        <w:ind w:left="5088" w:hanging="361"/>
      </w:pPr>
      <w:rPr>
        <w:rFonts w:hint="default"/>
      </w:rPr>
    </w:lvl>
    <w:lvl w:ilvl="5" w:tplc="554EE352">
      <w:start w:val="1"/>
      <w:numFmt w:val="bullet"/>
      <w:lvlText w:val="•"/>
      <w:lvlJc w:val="left"/>
      <w:pPr>
        <w:ind w:left="6070" w:hanging="361"/>
      </w:pPr>
      <w:rPr>
        <w:rFonts w:hint="default"/>
      </w:rPr>
    </w:lvl>
    <w:lvl w:ilvl="6" w:tplc="3FBC8A32">
      <w:start w:val="1"/>
      <w:numFmt w:val="bullet"/>
      <w:lvlText w:val="•"/>
      <w:lvlJc w:val="left"/>
      <w:pPr>
        <w:ind w:left="7052" w:hanging="361"/>
      </w:pPr>
      <w:rPr>
        <w:rFonts w:hint="default"/>
      </w:rPr>
    </w:lvl>
    <w:lvl w:ilvl="7" w:tplc="4A249B34">
      <w:start w:val="1"/>
      <w:numFmt w:val="bullet"/>
      <w:lvlText w:val="•"/>
      <w:lvlJc w:val="left"/>
      <w:pPr>
        <w:ind w:left="8034" w:hanging="361"/>
      </w:pPr>
      <w:rPr>
        <w:rFonts w:hint="default"/>
      </w:rPr>
    </w:lvl>
    <w:lvl w:ilvl="8" w:tplc="A45E2A42">
      <w:start w:val="1"/>
      <w:numFmt w:val="bullet"/>
      <w:lvlText w:val="•"/>
      <w:lvlJc w:val="left"/>
      <w:pPr>
        <w:ind w:left="9016" w:hanging="36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47"/>
    <w:rsid w:val="000464F8"/>
    <w:rsid w:val="00076B40"/>
    <w:rsid w:val="000D64F3"/>
    <w:rsid w:val="00136387"/>
    <w:rsid w:val="0015007C"/>
    <w:rsid w:val="00210901"/>
    <w:rsid w:val="00216103"/>
    <w:rsid w:val="002C7F4C"/>
    <w:rsid w:val="003032CC"/>
    <w:rsid w:val="00312EAF"/>
    <w:rsid w:val="003616EF"/>
    <w:rsid w:val="003D357E"/>
    <w:rsid w:val="004276CE"/>
    <w:rsid w:val="00467CE6"/>
    <w:rsid w:val="00501EB4"/>
    <w:rsid w:val="00501FDE"/>
    <w:rsid w:val="00595406"/>
    <w:rsid w:val="005E62EB"/>
    <w:rsid w:val="00610A67"/>
    <w:rsid w:val="00672A1D"/>
    <w:rsid w:val="00783A41"/>
    <w:rsid w:val="00797E26"/>
    <w:rsid w:val="007C4CD3"/>
    <w:rsid w:val="007F4857"/>
    <w:rsid w:val="00843FC7"/>
    <w:rsid w:val="008854F2"/>
    <w:rsid w:val="008B187D"/>
    <w:rsid w:val="00951247"/>
    <w:rsid w:val="00987B46"/>
    <w:rsid w:val="009A468E"/>
    <w:rsid w:val="009C1997"/>
    <w:rsid w:val="00A0298C"/>
    <w:rsid w:val="00A54C66"/>
    <w:rsid w:val="00B62609"/>
    <w:rsid w:val="00B659B0"/>
    <w:rsid w:val="00B709D0"/>
    <w:rsid w:val="00BB1EA5"/>
    <w:rsid w:val="00BD7A4B"/>
    <w:rsid w:val="00C74496"/>
    <w:rsid w:val="00C87104"/>
    <w:rsid w:val="00CF0E95"/>
    <w:rsid w:val="00D07551"/>
    <w:rsid w:val="00D67B28"/>
    <w:rsid w:val="00D77AE3"/>
    <w:rsid w:val="00DD2ED9"/>
    <w:rsid w:val="00E20B34"/>
    <w:rsid w:val="00E83168"/>
    <w:rsid w:val="00EA3277"/>
    <w:rsid w:val="00EE6C3F"/>
    <w:rsid w:val="00EE7693"/>
    <w:rsid w:val="00F35B91"/>
    <w:rsid w:val="00FC534A"/>
    <w:rsid w:val="00FE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2C026A-EFE3-4185-85AD-D1E35C03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1247"/>
    <w:pPr>
      <w:widowControl w:val="0"/>
      <w:spacing w:after="0" w:line="240" w:lineRule="auto"/>
    </w:pPr>
  </w:style>
  <w:style w:type="paragraph" w:styleId="Heading1">
    <w:name w:val="heading 1"/>
    <w:basedOn w:val="Normal"/>
    <w:link w:val="Heading1Char"/>
    <w:uiPriority w:val="1"/>
    <w:qFormat/>
    <w:rsid w:val="00951247"/>
    <w:pPr>
      <w:spacing w:before="129"/>
      <w:ind w:left="1560" w:hanging="36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1247"/>
    <w:rPr>
      <w:rFonts w:ascii="Calibri" w:eastAsia="Calibri" w:hAnsi="Calibri"/>
      <w:b/>
      <w:bCs/>
    </w:rPr>
  </w:style>
  <w:style w:type="paragraph" w:styleId="BodyText">
    <w:name w:val="Body Text"/>
    <w:basedOn w:val="Normal"/>
    <w:link w:val="BodyTextChar"/>
    <w:uiPriority w:val="1"/>
    <w:qFormat/>
    <w:rsid w:val="00951247"/>
    <w:pPr>
      <w:spacing w:before="120"/>
      <w:ind w:left="1160" w:hanging="360"/>
    </w:pPr>
    <w:rPr>
      <w:rFonts w:ascii="Calibri" w:eastAsia="Calibri" w:hAnsi="Calibri"/>
    </w:rPr>
  </w:style>
  <w:style w:type="character" w:customStyle="1" w:styleId="BodyTextChar">
    <w:name w:val="Body Text Char"/>
    <w:basedOn w:val="DefaultParagraphFont"/>
    <w:link w:val="BodyText"/>
    <w:uiPriority w:val="1"/>
    <w:rsid w:val="00951247"/>
    <w:rPr>
      <w:rFonts w:ascii="Calibri" w:eastAsia="Calibri" w:hAnsi="Calibri"/>
    </w:rPr>
  </w:style>
  <w:style w:type="paragraph" w:styleId="ListParagraph">
    <w:name w:val="List Paragraph"/>
    <w:basedOn w:val="Normal"/>
    <w:uiPriority w:val="1"/>
    <w:qFormat/>
    <w:rsid w:val="00951247"/>
  </w:style>
  <w:style w:type="paragraph" w:styleId="Header">
    <w:name w:val="header"/>
    <w:basedOn w:val="Normal"/>
    <w:link w:val="HeaderChar"/>
    <w:uiPriority w:val="99"/>
    <w:unhideWhenUsed/>
    <w:rsid w:val="00951247"/>
    <w:pPr>
      <w:tabs>
        <w:tab w:val="center" w:pos="4680"/>
        <w:tab w:val="right" w:pos="9360"/>
      </w:tabs>
    </w:pPr>
  </w:style>
  <w:style w:type="character" w:customStyle="1" w:styleId="HeaderChar">
    <w:name w:val="Header Char"/>
    <w:basedOn w:val="DefaultParagraphFont"/>
    <w:link w:val="Header"/>
    <w:uiPriority w:val="99"/>
    <w:rsid w:val="00951247"/>
  </w:style>
  <w:style w:type="paragraph" w:styleId="Footer">
    <w:name w:val="footer"/>
    <w:basedOn w:val="Normal"/>
    <w:link w:val="FooterChar"/>
    <w:uiPriority w:val="99"/>
    <w:unhideWhenUsed/>
    <w:rsid w:val="00951247"/>
    <w:pPr>
      <w:tabs>
        <w:tab w:val="center" w:pos="4680"/>
        <w:tab w:val="right" w:pos="9360"/>
      </w:tabs>
    </w:pPr>
  </w:style>
  <w:style w:type="character" w:customStyle="1" w:styleId="FooterChar">
    <w:name w:val="Footer Char"/>
    <w:basedOn w:val="DefaultParagraphFont"/>
    <w:link w:val="Footer"/>
    <w:uiPriority w:val="99"/>
    <w:rsid w:val="00951247"/>
  </w:style>
  <w:style w:type="table" w:styleId="TableGrid">
    <w:name w:val="Table Grid"/>
    <w:basedOn w:val="TableNormal"/>
    <w:uiPriority w:val="39"/>
    <w:rsid w:val="00951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5B91"/>
    <w:rPr>
      <w:sz w:val="20"/>
      <w:szCs w:val="20"/>
    </w:rPr>
  </w:style>
  <w:style w:type="character" w:customStyle="1" w:styleId="FootnoteTextChar">
    <w:name w:val="Footnote Text Char"/>
    <w:basedOn w:val="DefaultParagraphFont"/>
    <w:link w:val="FootnoteText"/>
    <w:uiPriority w:val="99"/>
    <w:semiHidden/>
    <w:rsid w:val="00F35B91"/>
    <w:rPr>
      <w:sz w:val="20"/>
      <w:szCs w:val="20"/>
    </w:rPr>
  </w:style>
  <w:style w:type="character" w:styleId="FootnoteReference">
    <w:name w:val="footnote reference"/>
    <w:basedOn w:val="DefaultParagraphFont"/>
    <w:uiPriority w:val="99"/>
    <w:semiHidden/>
    <w:unhideWhenUsed/>
    <w:rsid w:val="00F35B91"/>
    <w:rPr>
      <w:vertAlign w:val="superscript"/>
    </w:rPr>
  </w:style>
  <w:style w:type="character" w:styleId="Hyperlink">
    <w:name w:val="Hyperlink"/>
    <w:basedOn w:val="DefaultParagraphFont"/>
    <w:uiPriority w:val="99"/>
    <w:unhideWhenUsed/>
    <w:rsid w:val="00F35B91"/>
    <w:rPr>
      <w:color w:val="0563C1" w:themeColor="hyperlink"/>
      <w:u w:val="single"/>
    </w:rPr>
  </w:style>
  <w:style w:type="character" w:styleId="FollowedHyperlink">
    <w:name w:val="FollowedHyperlink"/>
    <w:basedOn w:val="DefaultParagraphFont"/>
    <w:uiPriority w:val="99"/>
    <w:semiHidden/>
    <w:unhideWhenUsed/>
    <w:rsid w:val="00F35B91"/>
    <w:rPr>
      <w:color w:val="954F72" w:themeColor="followedHyperlink"/>
      <w:u w:val="single"/>
    </w:rPr>
  </w:style>
  <w:style w:type="character" w:customStyle="1" w:styleId="normaltextrun">
    <w:name w:val="normaltextrun"/>
    <w:basedOn w:val="DefaultParagraphFont"/>
    <w:rsid w:val="00F35B91"/>
  </w:style>
  <w:style w:type="character" w:customStyle="1" w:styleId="eop">
    <w:name w:val="eop"/>
    <w:basedOn w:val="DefaultParagraphFont"/>
    <w:rsid w:val="00F35B91"/>
  </w:style>
  <w:style w:type="paragraph" w:customStyle="1" w:styleId="TableParagraph">
    <w:name w:val="Table Paragraph"/>
    <w:basedOn w:val="Normal"/>
    <w:uiPriority w:val="1"/>
    <w:rsid w:val="00E20B34"/>
    <w:pPr>
      <w:widowControl/>
    </w:pPr>
    <w:rPr>
      <w:rFonts w:ascii="Calibri" w:hAnsi="Calibri" w:cs="Times New Roman"/>
    </w:rPr>
  </w:style>
  <w:style w:type="paragraph" w:styleId="BalloonText">
    <w:name w:val="Balloon Text"/>
    <w:basedOn w:val="Normal"/>
    <w:link w:val="BalloonTextChar"/>
    <w:uiPriority w:val="99"/>
    <w:semiHidden/>
    <w:unhideWhenUsed/>
    <w:rsid w:val="00303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2CC"/>
    <w:rPr>
      <w:rFonts w:ascii="Segoe UI" w:hAnsi="Segoe UI" w:cs="Segoe UI"/>
      <w:sz w:val="18"/>
      <w:szCs w:val="18"/>
    </w:rPr>
  </w:style>
  <w:style w:type="paragraph" w:styleId="NormalWeb">
    <w:name w:val="Normal (Web)"/>
    <w:basedOn w:val="Normal"/>
    <w:uiPriority w:val="99"/>
    <w:semiHidden/>
    <w:unhideWhenUsed/>
    <w:rsid w:val="007F4857"/>
    <w:pPr>
      <w:widowControl/>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987B46"/>
    <w:pPr>
      <w:widowControl/>
      <w:spacing w:after="160"/>
    </w:pPr>
    <w:rPr>
      <w:sz w:val="20"/>
      <w:szCs w:val="20"/>
    </w:rPr>
  </w:style>
  <w:style w:type="character" w:customStyle="1" w:styleId="CommentTextChar">
    <w:name w:val="Comment Text Char"/>
    <w:basedOn w:val="DefaultParagraphFont"/>
    <w:link w:val="CommentText"/>
    <w:uiPriority w:val="99"/>
    <w:semiHidden/>
    <w:rsid w:val="00987B46"/>
    <w:rPr>
      <w:sz w:val="20"/>
      <w:szCs w:val="20"/>
    </w:rPr>
  </w:style>
  <w:style w:type="character" w:styleId="CommentReference">
    <w:name w:val="annotation reference"/>
    <w:basedOn w:val="DefaultParagraphFont"/>
    <w:uiPriority w:val="99"/>
    <w:semiHidden/>
    <w:unhideWhenUsed/>
    <w:rsid w:val="00987B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341">
      <w:bodyDiv w:val="1"/>
      <w:marLeft w:val="0"/>
      <w:marRight w:val="0"/>
      <w:marTop w:val="0"/>
      <w:marBottom w:val="0"/>
      <w:divBdr>
        <w:top w:val="none" w:sz="0" w:space="0" w:color="auto"/>
        <w:left w:val="none" w:sz="0" w:space="0" w:color="auto"/>
        <w:bottom w:val="none" w:sz="0" w:space="0" w:color="auto"/>
        <w:right w:val="none" w:sz="0" w:space="0" w:color="auto"/>
      </w:divBdr>
    </w:div>
    <w:div w:id="436877471">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35943103">
      <w:bodyDiv w:val="1"/>
      <w:marLeft w:val="0"/>
      <w:marRight w:val="0"/>
      <w:marTop w:val="0"/>
      <w:marBottom w:val="0"/>
      <w:divBdr>
        <w:top w:val="none" w:sz="0" w:space="0" w:color="auto"/>
        <w:left w:val="none" w:sz="0" w:space="0" w:color="auto"/>
        <w:bottom w:val="none" w:sz="0" w:space="0" w:color="auto"/>
        <w:right w:val="none" w:sz="0" w:space="0" w:color="auto"/>
      </w:divBdr>
    </w:div>
    <w:div w:id="1626891058">
      <w:bodyDiv w:val="1"/>
      <w:marLeft w:val="0"/>
      <w:marRight w:val="0"/>
      <w:marTop w:val="0"/>
      <w:marBottom w:val="0"/>
      <w:divBdr>
        <w:top w:val="none" w:sz="0" w:space="0" w:color="auto"/>
        <w:left w:val="none" w:sz="0" w:space="0" w:color="auto"/>
        <w:bottom w:val="none" w:sz="0" w:space="0" w:color="auto"/>
        <w:right w:val="none" w:sz="0" w:space="0" w:color="auto"/>
      </w:divBdr>
    </w:div>
    <w:div w:id="1983344632">
      <w:bodyDiv w:val="1"/>
      <w:marLeft w:val="0"/>
      <w:marRight w:val="0"/>
      <w:marTop w:val="0"/>
      <w:marBottom w:val="0"/>
      <w:divBdr>
        <w:top w:val="none" w:sz="0" w:space="0" w:color="auto"/>
        <w:left w:val="none" w:sz="0" w:space="0" w:color="auto"/>
        <w:bottom w:val="none" w:sz="0" w:space="0" w:color="auto"/>
        <w:right w:val="none" w:sz="0" w:space="0" w:color="auto"/>
      </w:divBdr>
    </w:div>
    <w:div w:id="19898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oa.acl.gov/AoA_Programs/HPW/Title_IIID/index.asp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attle.gov/humanservi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attle.gov/huma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8408D-D149-49CC-927F-52649167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McCallister, Susan</dc:creator>
  <cp:keywords/>
  <dc:description/>
  <cp:lastModifiedBy>Kellogg, Chelsea</cp:lastModifiedBy>
  <cp:revision>3</cp:revision>
  <cp:lastPrinted>2015-12-04T00:06:00Z</cp:lastPrinted>
  <dcterms:created xsi:type="dcterms:W3CDTF">2016-08-10T17:44:00Z</dcterms:created>
  <dcterms:modified xsi:type="dcterms:W3CDTF">2016-08-10T17:45:00Z</dcterms:modified>
</cp:coreProperties>
</file>