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137A9B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November 12,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137A9B">
        <w:rPr>
          <w:sz w:val="20"/>
        </w:rPr>
        <w:t xml:space="preserve">Parcels at 9501 Myers Way S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92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990"/>
        <w:gridCol w:w="1170"/>
        <w:gridCol w:w="1800"/>
        <w:gridCol w:w="810"/>
        <w:gridCol w:w="1080"/>
      </w:tblGrid>
      <w:tr w:rsidR="00420109" w:rsidRPr="00AD5766" w:rsidTr="0070306E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99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180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70306E">
        <w:trPr>
          <w:trHeight w:val="278"/>
        </w:trPr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4540</w:t>
            </w:r>
          </w:p>
        </w:tc>
        <w:tc>
          <w:tcPr>
            <w:tcW w:w="1260" w:type="dxa"/>
          </w:tcPr>
          <w:p w:rsidR="00420109" w:rsidRPr="004D17FB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Undeveloped lot</w:t>
            </w:r>
          </w:p>
        </w:tc>
        <w:tc>
          <w:tcPr>
            <w:tcW w:w="990" w:type="dxa"/>
          </w:tcPr>
          <w:p w:rsidR="00420109" w:rsidRDefault="006A4735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713,123 square feet</w:t>
            </w:r>
            <w:r w:rsidR="00137A9B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p w:rsidR="00137A9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0623049001</w:t>
            </w:r>
          </w:p>
          <w:p w:rsidR="00137A9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0523049012</w:t>
            </w:r>
          </w:p>
          <w:p w:rsidR="00420109" w:rsidRPr="004D17F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0523049013 </w:t>
            </w:r>
          </w:p>
        </w:tc>
        <w:tc>
          <w:tcPr>
            <w:tcW w:w="1800" w:type="dxa"/>
          </w:tcPr>
          <w:p w:rsidR="00420109" w:rsidRPr="00EA181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9501 Myers Way S  </w:t>
            </w:r>
          </w:p>
        </w:tc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C2- 65  </w:t>
            </w:r>
          </w:p>
        </w:tc>
        <w:tc>
          <w:tcPr>
            <w:tcW w:w="1080" w:type="dxa"/>
          </w:tcPr>
          <w:p w:rsidR="00420109" w:rsidRPr="00EA181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$1</w:t>
            </w:r>
            <w:r w:rsidR="00F662EF">
              <w:rPr>
                <w:rFonts w:eastAsia="Calibri"/>
                <w:sz w:val="14"/>
                <w:szCs w:val="14"/>
              </w:rPr>
              <w:t>2-15</w:t>
            </w:r>
            <w:r>
              <w:rPr>
                <w:rFonts w:eastAsia="Calibri"/>
                <w:sz w:val="14"/>
                <w:szCs w:val="14"/>
              </w:rPr>
              <w:t xml:space="preserve"> million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137A9B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</w: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drawing>
          <wp:anchor distT="0" distB="0" distL="114300" distR="114300" simplePos="0" relativeHeight="251666432" behindDoc="0" locked="0" layoutInCell="1" allowOverlap="1" wp14:anchorId="7B077914" wp14:editId="68BCF298">
            <wp:simplePos x="0" y="0"/>
            <wp:positionH relativeFrom="margin">
              <wp:posOffset>2224405</wp:posOffset>
            </wp:positionH>
            <wp:positionV relativeFrom="margin">
              <wp:posOffset>2483485</wp:posOffset>
            </wp:positionV>
            <wp:extent cx="2692400" cy="20904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sz w:val="20"/>
        </w:rPr>
        <w:drawing>
          <wp:anchor distT="0" distB="0" distL="114300" distR="114300" simplePos="0" relativeHeight="251667456" behindDoc="0" locked="0" layoutInCell="1" allowOverlap="1" wp14:anchorId="33B39480" wp14:editId="0B54BFD4">
            <wp:simplePos x="0" y="0"/>
            <wp:positionH relativeFrom="margin">
              <wp:posOffset>-13970</wp:posOffset>
            </wp:positionH>
            <wp:positionV relativeFrom="margin">
              <wp:posOffset>2483485</wp:posOffset>
            </wp:positionV>
            <wp:extent cx="3173730" cy="185547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ECE0" wp14:editId="0E3F2472">
                <wp:simplePos x="0" y="0"/>
                <wp:positionH relativeFrom="column">
                  <wp:posOffset>-4157648</wp:posOffset>
                </wp:positionH>
                <wp:positionV relativeFrom="paragraph">
                  <wp:posOffset>2587</wp:posOffset>
                </wp:positionV>
                <wp:extent cx="3336877" cy="1644556"/>
                <wp:effectExtent l="0" t="0" r="16510" b="13335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877" cy="1644556"/>
                        </a:xfrm>
                        <a:custGeom>
                          <a:avLst/>
                          <a:gdLst>
                            <a:gd name="connsiteX0" fmla="*/ 0 w 3336877"/>
                            <a:gd name="connsiteY0" fmla="*/ 0 h 1644556"/>
                            <a:gd name="connsiteX1" fmla="*/ 150125 w 3336877"/>
                            <a:gd name="connsiteY1" fmla="*/ 1317009 h 1644556"/>
                            <a:gd name="connsiteX2" fmla="*/ 1692322 w 3336877"/>
                            <a:gd name="connsiteY2" fmla="*/ 1330657 h 1644556"/>
                            <a:gd name="connsiteX3" fmla="*/ 3336877 w 3336877"/>
                            <a:gd name="connsiteY3" fmla="*/ 1644556 h 1644556"/>
                            <a:gd name="connsiteX4" fmla="*/ 3104865 w 3336877"/>
                            <a:gd name="connsiteY4" fmla="*/ 1098645 h 1644556"/>
                            <a:gd name="connsiteX5" fmla="*/ 2886501 w 3336877"/>
                            <a:gd name="connsiteY5" fmla="*/ 921224 h 1644556"/>
                            <a:gd name="connsiteX6" fmla="*/ 2818262 w 3336877"/>
                            <a:gd name="connsiteY6" fmla="*/ 730156 h 1644556"/>
                            <a:gd name="connsiteX7" fmla="*/ 2599898 w 3336877"/>
                            <a:gd name="connsiteY7" fmla="*/ 47768 h 1644556"/>
                            <a:gd name="connsiteX8" fmla="*/ 0 w 3336877"/>
                            <a:gd name="connsiteY8" fmla="*/ 0 h 1644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6877" h="1644556">
                              <a:moveTo>
                                <a:pt x="0" y="0"/>
                              </a:moveTo>
                              <a:lnTo>
                                <a:pt x="150125" y="1317009"/>
                              </a:lnTo>
                              <a:lnTo>
                                <a:pt x="1692322" y="1330657"/>
                              </a:lnTo>
                              <a:lnTo>
                                <a:pt x="3336877" y="1644556"/>
                              </a:lnTo>
                              <a:lnTo>
                                <a:pt x="3104865" y="1098645"/>
                              </a:lnTo>
                              <a:lnTo>
                                <a:pt x="2886501" y="921224"/>
                              </a:lnTo>
                              <a:lnTo>
                                <a:pt x="2818262" y="730156"/>
                              </a:lnTo>
                              <a:lnTo>
                                <a:pt x="2599898" y="47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-327.35pt;margin-top:.2pt;width:262.75pt;height:12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877,164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" path="m,l150125,1317009r1542197,13648l3336877,1644556,3104865,1098645,2886501,921224,2818262,730156,2599898,47768,,xe" filled="f" strokecolor="#243f60 [1604]" strokeweight="2pt">
                <v:path arrowok="t" o:connecttype="custom" o:connectlocs="0,0;150125,1317009;1692322,1330657;3336877,1644556;3104865,1098645;2886501,921224;2818262,730156;2599898,47768;0,0" o:connectangles="0,0,0,0,0,0,0,0,0"/>
              </v:shape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E57F0D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1081B" wp14:editId="1620EBC6">
                <wp:simplePos x="0" y="0"/>
                <wp:positionH relativeFrom="column">
                  <wp:posOffset>-3047365</wp:posOffset>
                </wp:positionH>
                <wp:positionV relativeFrom="paragraph">
                  <wp:posOffset>89535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BF234A">
                            <w:r>
                              <w:t>PMA 1656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9.95pt;margin-top:7.0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" fillcolor="white [3201]" strokeweight=".5pt">
                <v:textbox>
                  <w:txbxContent>
                    <w:p w:rsidR="00BF234A" w:rsidRDefault="00BF234A">
                      <w:r>
                        <w:t>PMA 1656</w:t>
                      </w:r>
                    </w:p>
                  </w:txbxContent>
                </v:textbox>
              </v:shape>
            </w:pict>
          </mc:Fallback>
        </mc:AlternateContent>
      </w: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-4818939</wp:posOffset>
                </wp:positionH>
                <wp:positionV relativeFrom="paragraph">
                  <wp:posOffset>66040</wp:posOffset>
                </wp:positionV>
                <wp:extent cx="1207827" cy="95534"/>
                <wp:effectExtent l="0" t="19050" r="3048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955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379.45pt;margin-top:5.2pt;width:95.1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tPeAIAAEI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" adj="20746" fillcolor="#4f81bd [3204]" strokecolor="#243f60 [1604]" strokeweight="2pt"/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ED23B3" w:rsidRDefault="003705BF" w:rsidP="00ED23B3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ED23B3" w:rsidRPr="00ED23B3">
        <w:rPr>
          <w:rFonts w:eastAsia="Calibri"/>
          <w:sz w:val="20"/>
        </w:rPr>
        <w:t xml:space="preserve">The land known as the Myers Way Properties was purchased as part of a larger parcel in mid-2003 for development of the Joint Training Facility </w:t>
      </w:r>
      <w:r w:rsidR="00F662EF">
        <w:rPr>
          <w:rFonts w:eastAsia="Calibri"/>
          <w:sz w:val="20"/>
        </w:rPr>
        <w:t xml:space="preserve">(JTF) at 9401 Myers Way South. </w:t>
      </w:r>
      <w:r w:rsidR="00ED23B3" w:rsidRPr="00ED23B3">
        <w:rPr>
          <w:rFonts w:eastAsia="Calibri"/>
          <w:sz w:val="20"/>
        </w:rPr>
        <w:t>In 2006, the Seattle City Council, by ordinance 122308, declared 31 acres of the properties surplus and authorized a sale. The sale transaction was not completed due to environmenta</w:t>
      </w:r>
      <w:r w:rsidR="008936B0">
        <w:rPr>
          <w:rFonts w:eastAsia="Calibri"/>
          <w:sz w:val="20"/>
        </w:rPr>
        <w:t xml:space="preserve">l and permitting issues. </w:t>
      </w:r>
      <w:r w:rsidR="00ED23B3" w:rsidRPr="00ED23B3">
        <w:rPr>
          <w:rFonts w:eastAsia="Calibri"/>
          <w:sz w:val="20"/>
        </w:rPr>
        <w:t xml:space="preserve">Additionally, the downturn in the local economy negatively </w:t>
      </w:r>
      <w:r w:rsidR="008936B0">
        <w:rPr>
          <w:rFonts w:eastAsia="Calibri"/>
          <w:sz w:val="20"/>
        </w:rPr>
        <w:t xml:space="preserve">affected prospects for a sale. </w:t>
      </w:r>
      <w:r w:rsidR="00ED23B3" w:rsidRPr="00ED23B3">
        <w:rPr>
          <w:rFonts w:eastAsia="Calibri"/>
          <w:sz w:val="20"/>
        </w:rPr>
        <w:t xml:space="preserve">Since this time, the Department of Finance and Administrative Services (FAS) staff have evaluated potential other municipal uses of the property, including a municipal jail, urban farming, </w:t>
      </w:r>
      <w:r w:rsidR="00F662EF">
        <w:rPr>
          <w:rFonts w:eastAsia="Calibri"/>
          <w:sz w:val="20"/>
        </w:rPr>
        <w:t xml:space="preserve">support of seawall project, Seattle Public Utilities Drainage operations facility </w:t>
      </w:r>
      <w:r w:rsidR="00ED23B3" w:rsidRPr="00ED23B3">
        <w:rPr>
          <w:rFonts w:eastAsia="Calibri"/>
          <w:sz w:val="20"/>
        </w:rPr>
        <w:t xml:space="preserve">and a Seattle City Light training facility. </w:t>
      </w:r>
    </w:p>
    <w:p w:rsidR="00F662EF" w:rsidRDefault="00F662EF" w:rsidP="00ED23B3">
      <w:pPr>
        <w:rPr>
          <w:rFonts w:eastAsia="Calibri"/>
          <w:sz w:val="20"/>
        </w:rPr>
      </w:pPr>
    </w:p>
    <w:p w:rsidR="00E57F0D" w:rsidRPr="00ED23B3" w:rsidRDefault="00E57F0D" w:rsidP="00ED23B3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portion of this property is identified as PMA 4540 has been identified by FAS for potential sale for use by economic development. </w:t>
      </w:r>
    </w:p>
    <w:p w:rsidR="008E73BA" w:rsidRDefault="008E73BA" w:rsidP="003705BF">
      <w:pPr>
        <w:rPr>
          <w:rFonts w:eastAsia="Calibri"/>
          <w:sz w:val="20"/>
        </w:rPr>
      </w:pPr>
    </w:p>
    <w:p w:rsidR="00C109D8" w:rsidRPr="00E57F0D" w:rsidRDefault="00AE3316" w:rsidP="008E73BA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E57F0D">
        <w:rPr>
          <w:rFonts w:eastAsia="Calibri"/>
          <w:b/>
          <w:sz w:val="20"/>
        </w:rPr>
        <w:br/>
      </w:r>
      <w:r w:rsidR="008936B0" w:rsidRPr="00ED23B3">
        <w:rPr>
          <w:rFonts w:eastAsia="Calibri"/>
          <w:sz w:val="20"/>
        </w:rPr>
        <w:t xml:space="preserve">Detailed environmental studies and reports have been conducted, including a wetland delineation report by Raedeke and Associates and a site constraint map prepared by Goldsmith Engineering.  Visit </w:t>
      </w:r>
      <w:hyperlink r:id="rId11" w:history="1">
        <w:r w:rsidR="008936B0" w:rsidRPr="00ED23B3">
          <w:rPr>
            <w:rStyle w:val="Hyperlink"/>
            <w:rFonts w:eastAsia="Calibri"/>
            <w:sz w:val="20"/>
          </w:rPr>
          <w:t>https://opendata.socrata.com/Government/Myers-Way-Properties-Public-Information/v6bs-a4e8</w:t>
        </w:r>
      </w:hyperlink>
      <w:r w:rsidR="008936B0" w:rsidRPr="00ED23B3">
        <w:rPr>
          <w:rFonts w:eastAsia="Calibri"/>
          <w:sz w:val="20"/>
        </w:rPr>
        <w:t xml:space="preserve"> for copies of these and other documents.  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2B44D3" w:rsidRDefault="00E57F0D" w:rsidP="003705BF">
      <w:pPr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FAS has</w:t>
      </w:r>
      <w:proofErr w:type="gramEnd"/>
      <w:r>
        <w:rPr>
          <w:rFonts w:eastAsia="Calibri"/>
          <w:sz w:val="20"/>
        </w:rPr>
        <w:t xml:space="preserve"> evaluated the value based upon a recent appraisal of the property.  </w:t>
      </w:r>
    </w:p>
    <w:p w:rsidR="00E57F0D" w:rsidRPr="00E57F0D" w:rsidRDefault="00E57F0D" w:rsidP="003705BF">
      <w:pPr>
        <w:rPr>
          <w:rFonts w:eastAsia="Calibri"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B137E8" w:rsidRPr="00B137E8">
        <w:rPr>
          <w:rFonts w:eastAsia="Calibri"/>
          <w:sz w:val="20"/>
        </w:rPr>
        <w:t>A portion to the Facility Services Sub-fund for expense</w:t>
      </w:r>
      <w:r w:rsidR="00E57F0D">
        <w:rPr>
          <w:rFonts w:eastAsia="Calibri"/>
          <w:sz w:val="20"/>
        </w:rPr>
        <w:t xml:space="preserve">s relating to sale of property, a portion to repay an interfund loan on the property, and as designated by Council.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EB01D7">
        <w:rPr>
          <w:rFonts w:eastAsia="Calibri"/>
          <w:sz w:val="20"/>
        </w:rPr>
        <w:t xml:space="preserve">Seattle City light has an easement over a small portion of the parcel adjacent to the transmission right of way located along the southern boundary of parcel number 052304-4903.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="00EB01D7">
        <w:rPr>
          <w:sz w:val="20"/>
        </w:rPr>
        <w:t xml:space="preserve"> </w:t>
      </w:r>
      <w:r w:rsidR="00B847B4">
        <w:rPr>
          <w:sz w:val="20"/>
        </w:rPr>
        <w:t>Record upon sale,</w:t>
      </w:r>
      <w:bookmarkStart w:id="0" w:name="_GoBack"/>
      <w:bookmarkEnd w:id="0"/>
      <w:r w:rsidR="00B847B4">
        <w:rPr>
          <w:sz w:val="20"/>
        </w:rPr>
        <w:t xml:space="preserve"> s</w:t>
      </w:r>
      <w:r w:rsidR="00E57F0D">
        <w:rPr>
          <w:sz w:val="20"/>
        </w:rPr>
        <w:t>torm drainage easement</w:t>
      </w:r>
      <w:r w:rsidR="00B847B4">
        <w:rPr>
          <w:sz w:val="20"/>
        </w:rPr>
        <w:t xml:space="preserve">s for existing drainage system over the </w:t>
      </w:r>
      <w:r w:rsidR="00E57F0D">
        <w:rPr>
          <w:sz w:val="20"/>
        </w:rPr>
        <w:t>parcel</w:t>
      </w:r>
      <w:r w:rsidR="00B847B4">
        <w:rPr>
          <w:sz w:val="20"/>
        </w:rPr>
        <w:t>s</w:t>
      </w:r>
      <w:r w:rsidR="00E57F0D">
        <w:rPr>
          <w:sz w:val="20"/>
        </w:rPr>
        <w:t xml:space="preserve">.  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492DA7" w:rsidRPr="00492DA7">
        <w:rPr>
          <w:rFonts w:eastAsia="Calibri"/>
          <w:sz w:val="20"/>
        </w:rPr>
        <w:t xml:space="preserve"> </w:t>
      </w:r>
      <w:r w:rsidR="00E57F0D">
        <w:rPr>
          <w:rFonts w:eastAsia="Calibri"/>
          <w:sz w:val="20"/>
        </w:rPr>
        <w:t xml:space="preserve"> </w:t>
      </w:r>
      <w:r w:rsidR="00EB01D7">
        <w:rPr>
          <w:rFonts w:eastAsia="Calibri"/>
          <w:sz w:val="20"/>
        </w:rPr>
        <w:t xml:space="preserve">A portion of the property has been identified as having buried cement kiln dust that contains some arsenic and lead. Ground water monitoring wells have been installed, and a phase II environmental report has been completed. Strategies on clean up or containment are yet to be identified. 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sz w:val="20"/>
        </w:rPr>
        <w:t xml:space="preserve">West Seattle, </w:t>
      </w:r>
      <w:r w:rsidR="00E57F0D">
        <w:rPr>
          <w:rFonts w:eastAsia="Calibri"/>
          <w:sz w:val="20"/>
        </w:rPr>
        <w:t xml:space="preserve">Highland Park 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F2958" w:rsidRPr="00BF234A" w:rsidRDefault="00DE26E8" w:rsidP="00EA181B">
      <w:pPr>
        <w:pStyle w:val="NoSpacing"/>
        <w:rPr>
          <w:rFonts w:ascii="Tahoma" w:hAnsi="Tahoma" w:cs="Tahoma"/>
          <w:sz w:val="20"/>
        </w:rPr>
      </w:pPr>
      <w:r w:rsidRPr="00EA181B">
        <w:rPr>
          <w:rFonts w:ascii="Times New Roman" w:hAnsi="Times New Roman"/>
          <w:b/>
          <w:sz w:val="20"/>
        </w:rPr>
        <w:t>Legal Description</w:t>
      </w:r>
      <w:r w:rsidR="00A00DF1">
        <w:rPr>
          <w:rFonts w:ascii="Times New Roman" w:hAnsi="Times New Roman"/>
          <w:b/>
          <w:sz w:val="20"/>
        </w:rPr>
        <w:t>s</w:t>
      </w:r>
      <w:r w:rsidRPr="00EA181B">
        <w:rPr>
          <w:rFonts w:ascii="Times New Roman" w:hAnsi="Times New Roman"/>
          <w:b/>
          <w:sz w:val="20"/>
        </w:rPr>
        <w:t>:</w:t>
      </w:r>
      <w:r w:rsidR="002B44D3" w:rsidRPr="002B44D3">
        <w:rPr>
          <w:rFonts w:ascii="Tahoma" w:hAnsi="Tahoma" w:cs="Tahoma"/>
          <w:sz w:val="20"/>
        </w:rPr>
        <w:t xml:space="preserve"> </w:t>
      </w:r>
    </w:p>
    <w:p w:rsidR="00627413" w:rsidRPr="004F2958" w:rsidRDefault="00E57F0D" w:rsidP="00294AFE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08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40"/>
        <w:gridCol w:w="9450"/>
      </w:tblGrid>
      <w:tr w:rsidR="00627413" w:rsidRPr="00627413" w:rsidTr="00627413">
        <w:tc>
          <w:tcPr>
            <w:tcW w:w="144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0623049001</w:t>
            </w:r>
          </w:p>
        </w:tc>
        <w:tc>
          <w:tcPr>
            <w:tcW w:w="945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POR OF NE 1/4 BEG AT NE COR OF SEC 6 TH N 88-23-50 W ALG N LN OF SD SEC 654.11 FT TH S 05-28-00 W 30.07 FT TH S 05-44-05 E ALG E LN 548.19 FT TO NLY LN OF TRAN LN R/W TH S 89-46-53 E ALG SD NLY LN 658.14 FT TO E LN OF SD SEC TH N 05-44-05 W ALG SD E LN 562.41 FT TO TPOB BEING LOT 2 OF SEATTLE LOT SEG #4326 DATED 02-19-03</w:t>
            </w:r>
          </w:p>
        </w:tc>
      </w:tr>
      <w:tr w:rsidR="00627413" w:rsidRPr="00627413" w:rsidTr="00627413">
        <w:tc>
          <w:tcPr>
            <w:tcW w:w="144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0523049012</w:t>
            </w:r>
          </w:p>
        </w:tc>
        <w:tc>
          <w:tcPr>
            <w:tcW w:w="945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POR LYING WLY OF ST RD OF SD PAR DAF - BEG AT NW COR OF GOV LOT 5 TH S 06-50-52 E 495 FT TH N 70-29-08 E 498 FT TH N 46-29-08 E 125.86 FT TH N 88-15-15 E 244.56 FT TH S 62-56-00 E 195.81 FT TH E 293.9 FT TH TO NE COR OF SD LOT TH W TO BEG LESS CO RD LESS ST HWY</w:t>
            </w:r>
          </w:p>
        </w:tc>
      </w:tr>
      <w:tr w:rsidR="00627413" w:rsidRPr="00627413" w:rsidTr="00627413">
        <w:tc>
          <w:tcPr>
            <w:tcW w:w="144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0523049013</w:t>
            </w:r>
          </w:p>
        </w:tc>
        <w:tc>
          <w:tcPr>
            <w:tcW w:w="9450" w:type="dxa"/>
          </w:tcPr>
          <w:p w:rsidR="00627413" w:rsidRPr="00627413" w:rsidRDefault="00627413" w:rsidP="00627413">
            <w:pPr>
              <w:pStyle w:val="NoSpacing"/>
              <w:rPr>
                <w:b/>
                <w:sz w:val="20"/>
              </w:rPr>
            </w:pPr>
            <w:r w:rsidRPr="00627413">
              <w:rPr>
                <w:sz w:val="20"/>
              </w:rPr>
              <w:t>POR LYING WLY OF MYERS WAY S &amp; NLY OF TRANS LN OF PAR DAF - BEG 495 FT S 06-50-52 E OF NW COR OF GL 5 TH N 70-29-08 E 498 FT TH N 46-29-08 E 125.86 FT TH N 88-15-15 E 244.56 FT TH S 62-56-00 E 195.81 FT TH S 22-04-00 W 496.69 FT TH S 74-40-24 W 537.72 FT TH N 66-04-40 W 256.4 FT TO W LN OF GL 5 TH N06-50-52 W ALG W LN 329.5 FT TO BEG LESS CO RD LESS TRANS LN R/W LESS ST HWY</w:t>
            </w:r>
          </w:p>
        </w:tc>
      </w:tr>
    </w:tbl>
    <w:p w:rsidR="004F2958" w:rsidRPr="004F2958" w:rsidRDefault="004F2958" w:rsidP="00294AFE">
      <w:pPr>
        <w:pStyle w:val="NoSpacing"/>
        <w:rPr>
          <w:rFonts w:ascii="Times New Roman" w:hAnsi="Times New Roman"/>
          <w:sz w:val="20"/>
        </w:rPr>
      </w:pPr>
    </w:p>
    <w:p w:rsidR="00A00DF1" w:rsidRDefault="00A00DF1">
      <w:pPr>
        <w:rPr>
          <w:rFonts w:eastAsia="Calibri"/>
          <w:sz w:val="20"/>
        </w:rPr>
      </w:pPr>
      <w:r>
        <w:rPr>
          <w:sz w:val="20"/>
        </w:rPr>
        <w:br w:type="page"/>
      </w:r>
    </w:p>
    <w:p w:rsidR="00A01477" w:rsidRPr="00B82BC5" w:rsidRDefault="00A01477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DA3A3A" w:rsidRDefault="00DE5C84" w:rsidP="00EA181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DE5C84" w:rsidRDefault="00DE5C84" w:rsidP="00EA181B">
      <w:pPr>
        <w:autoSpaceDE w:val="0"/>
        <w:autoSpaceDN w:val="0"/>
        <w:adjustRightInd w:val="0"/>
        <w:rPr>
          <w:rFonts w:eastAsia="Calibri"/>
          <w:b/>
          <w:sz w:val="20"/>
        </w:rPr>
      </w:pPr>
    </w:p>
    <w:p w:rsidR="00492DA7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9368700126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9368700106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spellStart"/>
      <w:r w:rsidRPr="00B137E8">
        <w:rPr>
          <w:rFonts w:eastAsia="Calibri"/>
          <w:sz w:val="20"/>
        </w:rPr>
        <w:t>Edm</w:t>
      </w:r>
      <w:r w:rsidR="00633C72" w:rsidRPr="00B137E8">
        <w:rPr>
          <w:rFonts w:eastAsia="Calibri"/>
          <w:sz w:val="20"/>
        </w:rPr>
        <w:t>on</w:t>
      </w:r>
      <w:proofErr w:type="spellEnd"/>
      <w:r w:rsidR="00633C72" w:rsidRPr="00B137E8">
        <w:rPr>
          <w:rFonts w:eastAsia="Calibri"/>
          <w:sz w:val="20"/>
        </w:rPr>
        <w:t xml:space="preserve">, Elisha </w:t>
      </w:r>
      <w:r w:rsidRPr="00B137E8">
        <w:rPr>
          <w:rFonts w:eastAsia="Calibri"/>
          <w:sz w:val="20"/>
        </w:rPr>
        <w:t>E.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 xml:space="preserve">Tran Truong </w:t>
      </w:r>
      <w:proofErr w:type="spellStart"/>
      <w:r w:rsidR="00DE5C84" w:rsidRPr="00B137E8">
        <w:rPr>
          <w:rFonts w:eastAsia="Calibri"/>
          <w:sz w:val="20"/>
        </w:rPr>
        <w:t>Nhat</w:t>
      </w:r>
      <w:proofErr w:type="spellEnd"/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5515 S. Bangor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10617 56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 </w:t>
      </w: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$71</w:t>
      </w:r>
      <w:proofErr w:type="gramStart"/>
      <w:r w:rsidRPr="00B137E8">
        <w:rPr>
          <w:rFonts w:eastAsia="Calibri"/>
          <w:sz w:val="20"/>
        </w:rPr>
        <w:t>,00</w:t>
      </w:r>
      <w:proofErr w:type="gramEnd"/>
      <w:r w:rsidRPr="00B137E8">
        <w:rPr>
          <w:rFonts w:eastAsia="Calibri"/>
          <w:sz w:val="20"/>
        </w:rPr>
        <w:t xml:space="preserve"> $12.6  per sf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$78,000, $10.83 per sf</w:t>
      </w:r>
    </w:p>
    <w:p w:rsidR="000C2121" w:rsidRPr="00B137E8" w:rsidRDefault="000C2121" w:rsidP="00DA3A3A">
      <w:pPr>
        <w:rPr>
          <w:rFonts w:eastAsia="Calibri"/>
          <w:sz w:val="20"/>
        </w:rPr>
      </w:pP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9368700112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9368700108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gramStart"/>
      <w:r w:rsidRPr="00B137E8">
        <w:rPr>
          <w:rFonts w:eastAsia="Calibri"/>
          <w:sz w:val="20"/>
        </w:rPr>
        <w:t>Cormier, Donald J.</w:t>
      </w:r>
      <w:proofErr w:type="gramEnd"/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 xml:space="preserve">Nguyen, </w:t>
      </w:r>
      <w:proofErr w:type="spellStart"/>
      <w:r w:rsidR="006D1126" w:rsidRPr="00B137E8">
        <w:rPr>
          <w:rFonts w:eastAsia="Calibri"/>
          <w:sz w:val="20"/>
        </w:rPr>
        <w:t>Hoa</w:t>
      </w:r>
      <w:proofErr w:type="spellEnd"/>
    </w:p>
    <w:p w:rsidR="006D1126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5519 S. Bangor St.</w:t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>10621 56</w:t>
      </w:r>
      <w:r w:rsidR="006D1126" w:rsidRPr="00B137E8">
        <w:rPr>
          <w:rFonts w:eastAsia="Calibri"/>
          <w:sz w:val="20"/>
          <w:vertAlign w:val="superscript"/>
        </w:rPr>
        <w:t>th</w:t>
      </w:r>
      <w:r w:rsidR="006D1126" w:rsidRPr="00B137E8">
        <w:rPr>
          <w:rFonts w:eastAsia="Calibri"/>
          <w:sz w:val="20"/>
        </w:rPr>
        <w:t xml:space="preserve"> Ave S.</w:t>
      </w:r>
    </w:p>
    <w:p w:rsidR="006D1126" w:rsidRPr="00B137E8" w:rsidRDefault="004A50D3" w:rsidP="006D1126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6D1126" w:rsidRPr="00B137E8">
        <w:rPr>
          <w:rFonts w:eastAsia="Calibri"/>
          <w:sz w:val="20"/>
        </w:rPr>
        <w:t xml:space="preserve"> </w:t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>Seattle, WA 98178</w:t>
      </w:r>
    </w:p>
    <w:p w:rsidR="000C2121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$66,000, $12.22 per sf</w:t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$88,000, $8.49 per sf</w:t>
      </w:r>
    </w:p>
    <w:p w:rsidR="004A50D3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</w:p>
    <w:p w:rsidR="00DE5C84" w:rsidRPr="00B137E8" w:rsidRDefault="004A50D3" w:rsidP="004A50D3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9368700110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9368700127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spellStart"/>
      <w:proofErr w:type="gramStart"/>
      <w:r w:rsidRPr="00B137E8">
        <w:rPr>
          <w:rFonts w:eastAsia="Calibri"/>
          <w:sz w:val="20"/>
        </w:rPr>
        <w:t>Winstead</w:t>
      </w:r>
      <w:proofErr w:type="spellEnd"/>
      <w:r w:rsidRPr="00B137E8">
        <w:rPr>
          <w:rFonts w:eastAsia="Calibri"/>
          <w:sz w:val="20"/>
        </w:rPr>
        <w:t xml:space="preserve">, Raymond H. Jr. + </w:t>
      </w:r>
      <w:proofErr w:type="spellStart"/>
      <w:r w:rsidRPr="00B137E8">
        <w:rPr>
          <w:rFonts w:eastAsia="Calibri"/>
          <w:sz w:val="20"/>
        </w:rPr>
        <w:t>Makeb</w:t>
      </w:r>
      <w:proofErr w:type="spellEnd"/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Bushnell, Roger G.</w:t>
      </w:r>
      <w:proofErr w:type="gramEnd"/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5521 S. Bangor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10616 55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</w:t>
      </w: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64,000, $14.50 per sf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$74,000</w:t>
      </w:r>
      <w:proofErr w:type="gramStart"/>
      <w:r w:rsidR="000C5ABA" w:rsidRPr="00B137E8">
        <w:rPr>
          <w:rFonts w:eastAsia="Calibri"/>
          <w:sz w:val="20"/>
        </w:rPr>
        <w:t>,  $</w:t>
      </w:r>
      <w:proofErr w:type="gramEnd"/>
      <w:r w:rsidR="000C5ABA" w:rsidRPr="00B137E8">
        <w:rPr>
          <w:rFonts w:eastAsia="Calibri"/>
          <w:sz w:val="20"/>
        </w:rPr>
        <w:t>11.76 per sf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9368700135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9368700128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Pratt, Mitchell-Roberta</w:t>
      </w:r>
      <w:r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Murray, Jacqueline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5516 S. Hazel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10610 55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$89,000</w:t>
      </w:r>
      <w:r w:rsidR="000C5ABA" w:rsidRPr="00B137E8">
        <w:rPr>
          <w:rFonts w:eastAsia="Calibri"/>
          <w:sz w:val="20"/>
        </w:rPr>
        <w:t>,</w:t>
      </w:r>
      <w:r w:rsidRPr="00B137E8">
        <w:rPr>
          <w:rFonts w:eastAsia="Calibri"/>
          <w:sz w:val="20"/>
        </w:rPr>
        <w:t xml:space="preserve"> $</w:t>
      </w:r>
      <w:proofErr w:type="gramStart"/>
      <w:r w:rsidRPr="00B137E8">
        <w:rPr>
          <w:rFonts w:eastAsia="Calibri"/>
          <w:sz w:val="20"/>
        </w:rPr>
        <w:t xml:space="preserve">7.26 </w:t>
      </w:r>
      <w:r w:rsidR="000C5ABA" w:rsidRPr="00B137E8">
        <w:rPr>
          <w:rFonts w:eastAsia="Calibri"/>
          <w:sz w:val="20"/>
        </w:rPr>
        <w:t xml:space="preserve"> </w:t>
      </w:r>
      <w:proofErr w:type="spellStart"/>
      <w:r w:rsidRPr="00B137E8">
        <w:rPr>
          <w:rFonts w:eastAsia="Calibri"/>
          <w:sz w:val="20"/>
        </w:rPr>
        <w:t>pef</w:t>
      </w:r>
      <w:proofErr w:type="spellEnd"/>
      <w:proofErr w:type="gramEnd"/>
      <w:r w:rsidRPr="00B137E8">
        <w:rPr>
          <w:rFonts w:eastAsia="Calibri"/>
          <w:sz w:val="20"/>
        </w:rPr>
        <w:t xml:space="preserve"> sf.</w:t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$71</w:t>
      </w:r>
      <w:proofErr w:type="gramStart"/>
      <w:r w:rsidR="000C5ABA" w:rsidRPr="00B137E8">
        <w:rPr>
          <w:rFonts w:eastAsia="Calibri"/>
          <w:sz w:val="20"/>
        </w:rPr>
        <w:t>,00</w:t>
      </w:r>
      <w:proofErr w:type="gramEnd"/>
      <w:r w:rsidR="000C5ABA" w:rsidRPr="00B137E8">
        <w:rPr>
          <w:rFonts w:eastAsia="Calibri"/>
          <w:sz w:val="20"/>
        </w:rPr>
        <w:t xml:space="preserve">, </w:t>
      </w:r>
      <w:r w:rsidRPr="00B137E8">
        <w:rPr>
          <w:rFonts w:eastAsia="Calibri"/>
          <w:sz w:val="20"/>
        </w:rPr>
        <w:t>$12.6  per sf</w:t>
      </w:r>
    </w:p>
    <w:p w:rsidR="00DE5C84" w:rsidRPr="00B137E8" w:rsidRDefault="00DE5C84" w:rsidP="00DA3A3A">
      <w:pPr>
        <w:rPr>
          <w:rFonts w:eastAsia="Calibri"/>
          <w:sz w:val="20"/>
        </w:rPr>
      </w:pP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936870 0131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>9368700130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Morningstar, Sarah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>Emerald Real Estate Solution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5503 S Bangor St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5507 S Bangor St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Seattle, WA 98178 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 xml:space="preserve">Seattle, WA 98178 </w:t>
      </w:r>
    </w:p>
    <w:p w:rsidR="00DE5C84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$56</w:t>
      </w:r>
      <w:proofErr w:type="gramStart"/>
      <w:r w:rsidRPr="00B137E8">
        <w:rPr>
          <w:rFonts w:eastAsia="Calibri"/>
          <w:sz w:val="20"/>
        </w:rPr>
        <w:t>,00</w:t>
      </w:r>
      <w:proofErr w:type="gramEnd"/>
      <w:r w:rsidRPr="00B137E8">
        <w:rPr>
          <w:rFonts w:eastAsia="Calibri"/>
          <w:sz w:val="20"/>
        </w:rPr>
        <w:t>, $12,93 per sf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$ 67,00 $14.50 per sf</w:t>
      </w:r>
      <w:r w:rsidR="00DE5C84" w:rsidRPr="00B137E8">
        <w:rPr>
          <w:rFonts w:eastAsia="Calibri"/>
          <w:sz w:val="20"/>
        </w:rPr>
        <w:tab/>
      </w:r>
    </w:p>
    <w:sectPr w:rsidR="00DE5C84" w:rsidRPr="00B137E8" w:rsidSect="00492DA7">
      <w:footerReference w:type="default" r:id="rId12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B847B4">
          <w:rPr>
            <w:noProof/>
            <w:sz w:val="16"/>
            <w:szCs w:val="16"/>
          </w:rPr>
          <w:t>2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  <w:t>June 15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3125A"/>
    <w:rsid w:val="00137A9B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50FED"/>
    <w:rsid w:val="00255DC9"/>
    <w:rsid w:val="00265546"/>
    <w:rsid w:val="00280F49"/>
    <w:rsid w:val="00294AFE"/>
    <w:rsid w:val="002B44D3"/>
    <w:rsid w:val="002D7DFF"/>
    <w:rsid w:val="002E5832"/>
    <w:rsid w:val="00307345"/>
    <w:rsid w:val="00333C3A"/>
    <w:rsid w:val="0036327E"/>
    <w:rsid w:val="003705BF"/>
    <w:rsid w:val="00391C77"/>
    <w:rsid w:val="003C22E2"/>
    <w:rsid w:val="003D5FD2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300D4"/>
    <w:rsid w:val="005313ED"/>
    <w:rsid w:val="00534F8F"/>
    <w:rsid w:val="00555469"/>
    <w:rsid w:val="00556142"/>
    <w:rsid w:val="00562DC4"/>
    <w:rsid w:val="00577389"/>
    <w:rsid w:val="00585EF5"/>
    <w:rsid w:val="005E2975"/>
    <w:rsid w:val="005F27C8"/>
    <w:rsid w:val="00627413"/>
    <w:rsid w:val="0063392D"/>
    <w:rsid w:val="00633C72"/>
    <w:rsid w:val="00645998"/>
    <w:rsid w:val="00667321"/>
    <w:rsid w:val="006A4735"/>
    <w:rsid w:val="006B0D5D"/>
    <w:rsid w:val="006C5873"/>
    <w:rsid w:val="006D1126"/>
    <w:rsid w:val="006E2037"/>
    <w:rsid w:val="006F0F12"/>
    <w:rsid w:val="0070306E"/>
    <w:rsid w:val="007439C1"/>
    <w:rsid w:val="00755A01"/>
    <w:rsid w:val="00757B05"/>
    <w:rsid w:val="00790C95"/>
    <w:rsid w:val="007A6A35"/>
    <w:rsid w:val="007C46AE"/>
    <w:rsid w:val="007E56FE"/>
    <w:rsid w:val="007F35A8"/>
    <w:rsid w:val="008311D1"/>
    <w:rsid w:val="00835B36"/>
    <w:rsid w:val="008409EA"/>
    <w:rsid w:val="008936B0"/>
    <w:rsid w:val="008A0EB8"/>
    <w:rsid w:val="008A1FB0"/>
    <w:rsid w:val="008E73BA"/>
    <w:rsid w:val="008F701B"/>
    <w:rsid w:val="00903AC2"/>
    <w:rsid w:val="00910077"/>
    <w:rsid w:val="00914B02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B137E8"/>
    <w:rsid w:val="00B73E58"/>
    <w:rsid w:val="00B82BC5"/>
    <w:rsid w:val="00B847B4"/>
    <w:rsid w:val="00B85866"/>
    <w:rsid w:val="00BB0570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57F0D"/>
    <w:rsid w:val="00E74465"/>
    <w:rsid w:val="00EA14B3"/>
    <w:rsid w:val="00EA181B"/>
    <w:rsid w:val="00EB01D7"/>
    <w:rsid w:val="00EB443A"/>
    <w:rsid w:val="00EB7605"/>
    <w:rsid w:val="00ED23B3"/>
    <w:rsid w:val="00ED348A"/>
    <w:rsid w:val="00EF2CA4"/>
    <w:rsid w:val="00EF328A"/>
    <w:rsid w:val="00F017DA"/>
    <w:rsid w:val="00F20791"/>
    <w:rsid w:val="00F5681A"/>
    <w:rsid w:val="00F662EF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data.socrata.com/Government/Myers-Way-Properties-Public-Information/v6bs-a4e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ADE-EEE5-496C-817D-533120E2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Bretzke</dc:creator>
  <cp:lastModifiedBy>Bretzke, Daniel</cp:lastModifiedBy>
  <cp:revision>16</cp:revision>
  <cp:lastPrinted>2014-01-22T19:58:00Z</cp:lastPrinted>
  <dcterms:created xsi:type="dcterms:W3CDTF">2015-06-15T22:26:00Z</dcterms:created>
  <dcterms:modified xsi:type="dcterms:W3CDTF">2015-11-12T20:41:00Z</dcterms:modified>
</cp:coreProperties>
</file>