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87" w:rsidRDefault="002E0987" w:rsidP="00987A5E">
      <w:pPr>
        <w:pStyle w:val="Header"/>
        <w:jc w:val="center"/>
      </w:pPr>
    </w:p>
    <w:p w:rsidR="00987A5E" w:rsidRDefault="00987A5E" w:rsidP="00987A5E">
      <w:pPr>
        <w:pStyle w:val="Header"/>
        <w:jc w:val="center"/>
      </w:pPr>
      <w:r>
        <w:rPr>
          <w:noProof/>
        </w:rPr>
        <w:drawing>
          <wp:inline distT="0" distB="0" distL="0" distR="0" wp14:anchorId="2CDCE569" wp14:editId="3159B23B">
            <wp:extent cx="676275" cy="685800"/>
            <wp:effectExtent l="19050" t="0" r="9525" b="0"/>
            <wp:docPr id="4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5E" w:rsidRPr="00976F18" w:rsidRDefault="00987A5E" w:rsidP="00987A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76F18">
        <w:rPr>
          <w:rFonts w:ascii="Times New Roman" w:hAnsi="Times New Roman" w:cs="Times New Roman"/>
          <w:b/>
        </w:rPr>
        <w:t>City of Seattle</w:t>
      </w:r>
    </w:p>
    <w:p w:rsidR="00987A5E" w:rsidRPr="00976F18" w:rsidRDefault="00987A5E" w:rsidP="00987A5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76F18">
        <w:rPr>
          <w:rFonts w:ascii="Times New Roman" w:hAnsi="Times New Roman" w:cs="Times New Roman"/>
        </w:rPr>
        <w:t>Department of Finance and Administrative Services</w:t>
      </w:r>
    </w:p>
    <w:p w:rsidR="00987A5E" w:rsidRDefault="00987A5E">
      <w:pPr>
        <w:rPr>
          <w:rFonts w:ascii="Times New Roman" w:hAnsi="Times New Roman" w:cs="Times New Roman"/>
          <w:b/>
        </w:rPr>
      </w:pPr>
    </w:p>
    <w:p w:rsidR="004C7546" w:rsidRPr="00C11B63" w:rsidRDefault="00987A5E" w:rsidP="003554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="00B4383D" w:rsidRPr="00C11B63">
        <w:rPr>
          <w:rFonts w:ascii="Times New Roman" w:hAnsi="Times New Roman" w:cs="Times New Roman"/>
          <w:b/>
        </w:rPr>
        <w:t>reenwood Senior Center</w:t>
      </w:r>
    </w:p>
    <w:p w:rsidR="00B4383D" w:rsidRDefault="00B4383D" w:rsidP="0035547A">
      <w:pPr>
        <w:spacing w:after="0" w:line="240" w:lineRule="auto"/>
        <w:rPr>
          <w:rFonts w:ascii="Times New Roman" w:hAnsi="Times New Roman" w:cs="Times New Roman"/>
          <w:b/>
        </w:rPr>
      </w:pPr>
      <w:r w:rsidRPr="00C11B63">
        <w:rPr>
          <w:rFonts w:ascii="Times New Roman" w:hAnsi="Times New Roman" w:cs="Times New Roman"/>
          <w:b/>
        </w:rPr>
        <w:t>Excess Property Description</w:t>
      </w:r>
    </w:p>
    <w:p w:rsidR="0035547A" w:rsidRPr="00C11B63" w:rsidRDefault="0035547A" w:rsidP="0035547A">
      <w:pPr>
        <w:spacing w:after="0" w:line="240" w:lineRule="auto"/>
        <w:rPr>
          <w:rFonts w:ascii="Times New Roman" w:hAnsi="Times New Roman" w:cs="Times New Roman"/>
          <w:b/>
        </w:rPr>
      </w:pPr>
    </w:p>
    <w:p w:rsidR="00B4383D" w:rsidRPr="00C11B63" w:rsidRDefault="00FA5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First compiled in April </w:t>
      </w:r>
      <w:r w:rsidR="00B4383D" w:rsidRPr="00C11B63">
        <w:rPr>
          <w:rFonts w:ascii="Times New Roman" w:hAnsi="Times New Roman" w:cs="Times New Roman"/>
          <w:b/>
        </w:rPr>
        <w:t xml:space="preserve">2015, pursuant to the requirements set forth in Seattle City Council Resolution </w:t>
      </w:r>
      <w:r w:rsidR="0047437F" w:rsidRPr="00C11B63">
        <w:rPr>
          <w:rFonts w:ascii="Times New Roman" w:hAnsi="Times New Roman" w:cs="Times New Roman"/>
          <w:b/>
        </w:rPr>
        <w:t>29799</w:t>
      </w:r>
      <w:r w:rsidR="0037025A" w:rsidRPr="00C11B63">
        <w:rPr>
          <w:rFonts w:ascii="Times New Roman" w:hAnsi="Times New Roman" w:cs="Times New Roman"/>
          <w:b/>
        </w:rPr>
        <w:t>, Appendix B</w:t>
      </w:r>
    </w:p>
    <w:p w:rsidR="00BF68DF" w:rsidRDefault="00BF68D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="00BF68DF" w:rsidTr="0035547A">
        <w:tc>
          <w:tcPr>
            <w:tcW w:w="3978" w:type="dxa"/>
          </w:tcPr>
          <w:p w:rsidR="00BF68DF" w:rsidRPr="00BF68DF" w:rsidRDefault="00BF68DF" w:rsidP="00BF6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F68DF">
              <w:rPr>
                <w:rFonts w:ascii="Times New Roman" w:hAnsi="Times New Roman" w:cs="Times New Roman"/>
              </w:rPr>
              <w:t>Proper</w:t>
            </w:r>
            <w:r>
              <w:rPr>
                <w:rFonts w:ascii="Times New Roman" w:hAnsi="Times New Roman" w:cs="Times New Roman"/>
              </w:rPr>
              <w:t xml:space="preserve">ty management area </w:t>
            </w:r>
            <w:r w:rsidR="0037025A">
              <w:rPr>
                <w:rFonts w:ascii="Times New Roman" w:hAnsi="Times New Roman" w:cs="Times New Roman"/>
              </w:rPr>
              <w:t>(“</w:t>
            </w:r>
            <w:r w:rsidR="0037025A" w:rsidRPr="0037025A">
              <w:rPr>
                <w:rFonts w:ascii="Times New Roman" w:hAnsi="Times New Roman" w:cs="Times New Roman"/>
                <w:b/>
                <w:u w:val="single"/>
              </w:rPr>
              <w:t>PMA</w:t>
            </w:r>
            <w:r w:rsidR="0037025A">
              <w:rPr>
                <w:rFonts w:ascii="Times New Roman" w:hAnsi="Times New Roman" w:cs="Times New Roman"/>
              </w:rPr>
              <w:t xml:space="preserve">”) </w:t>
            </w:r>
            <w:r>
              <w:rPr>
                <w:rFonts w:ascii="Times New Roman" w:hAnsi="Times New Roman" w:cs="Times New Roman"/>
              </w:rPr>
              <w:t>name and address</w:t>
            </w:r>
          </w:p>
        </w:tc>
        <w:tc>
          <w:tcPr>
            <w:tcW w:w="5598" w:type="dxa"/>
          </w:tcPr>
          <w:p w:rsidR="00BF68DF" w:rsidRDefault="00BF6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Greenwood Senior Center</w:t>
            </w:r>
          </w:p>
          <w:p w:rsidR="00BF68DF" w:rsidRDefault="00BF6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North 85</w:t>
            </w:r>
            <w:r w:rsidRPr="00BF68D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Street</w:t>
            </w:r>
          </w:p>
          <w:p w:rsidR="00BF68DF" w:rsidRDefault="00BF6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Seattle, WA 98103</w:t>
            </w:r>
          </w:p>
          <w:p w:rsidR="00BF68DF" w:rsidRDefault="00BF68DF">
            <w:pPr>
              <w:rPr>
                <w:rFonts w:ascii="Times New Roman" w:hAnsi="Times New Roman" w:cs="Times New Roman"/>
              </w:rPr>
            </w:pPr>
          </w:p>
        </w:tc>
      </w:tr>
      <w:tr w:rsidR="00BF68DF" w:rsidTr="0035547A">
        <w:tc>
          <w:tcPr>
            <w:tcW w:w="3978" w:type="dxa"/>
          </w:tcPr>
          <w:p w:rsidR="0037025A" w:rsidRDefault="0037025A" w:rsidP="0037025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F68DF" w:rsidRPr="00BF68DF" w:rsidRDefault="0037025A" w:rsidP="00BF68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 description</w:t>
            </w:r>
            <w:r w:rsidR="00221F1D">
              <w:rPr>
                <w:rFonts w:ascii="Times New Roman" w:hAnsi="Times New Roman" w:cs="Times New Roman"/>
              </w:rPr>
              <w:t>; description of improvements; tenant</w:t>
            </w:r>
          </w:p>
        </w:tc>
        <w:tc>
          <w:tcPr>
            <w:tcW w:w="5598" w:type="dxa"/>
          </w:tcPr>
          <w:p w:rsid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63A12">
              <w:rPr>
                <w:rFonts w:ascii="Times New Roman" w:hAnsi="Times New Roman"/>
                <w:sz w:val="22"/>
                <w:szCs w:val="22"/>
              </w:rPr>
              <w:t>The north half of Lot 2; and the east 60 feet of Lot 3, Block 19, Osner’s Second Addition to Seattle, according to the plat thereof recorded in Volume 12 o</w:t>
            </w:r>
            <w:r w:rsidR="00CE3743">
              <w:rPr>
                <w:rFonts w:ascii="Times New Roman" w:hAnsi="Times New Roman"/>
                <w:sz w:val="22"/>
                <w:szCs w:val="22"/>
              </w:rPr>
              <w:t>f Plats, page 3, in King County</w:t>
            </w:r>
            <w:r w:rsidRPr="00163A12">
              <w:rPr>
                <w:rFonts w:ascii="Times New Roman" w:hAnsi="Times New Roman"/>
                <w:sz w:val="22"/>
                <w:szCs w:val="22"/>
              </w:rPr>
              <w:t>, Washington;  EXCEPT the south 110 feet of said portion Lot 3</w:t>
            </w:r>
            <w:r w:rsidR="000441BB">
              <w:rPr>
                <w:rFonts w:ascii="Times New Roman" w:hAnsi="Times New Roman"/>
                <w:sz w:val="22"/>
                <w:szCs w:val="22"/>
              </w:rPr>
              <w:t xml:space="preserve"> (referred to</w:t>
            </w:r>
            <w:r w:rsidR="00747A11">
              <w:rPr>
                <w:rFonts w:ascii="Times New Roman" w:hAnsi="Times New Roman"/>
                <w:sz w:val="22"/>
                <w:szCs w:val="22"/>
              </w:rPr>
              <w:t xml:space="preserve"> simply as the “</w:t>
            </w:r>
            <w:r w:rsidR="00747A11" w:rsidRPr="00747A1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Property</w:t>
            </w:r>
            <w:r w:rsidR="00747A11">
              <w:rPr>
                <w:rFonts w:ascii="Times New Roman" w:hAnsi="Times New Roman"/>
                <w:sz w:val="22"/>
                <w:szCs w:val="22"/>
              </w:rPr>
              <w:t>”</w:t>
            </w:r>
            <w:r w:rsidR="000441BB">
              <w:rPr>
                <w:rFonts w:ascii="Times New Roman" w:hAnsi="Times New Roman"/>
                <w:sz w:val="22"/>
                <w:szCs w:val="22"/>
              </w:rPr>
              <w:t xml:space="preserve"> elsewhere in this </w:t>
            </w:r>
            <w:r w:rsidR="00747A11">
              <w:rPr>
                <w:rFonts w:ascii="Times New Roman" w:hAnsi="Times New Roman"/>
                <w:sz w:val="22"/>
                <w:szCs w:val="22"/>
              </w:rPr>
              <w:t>Excess Property Description)</w:t>
            </w:r>
            <w:r w:rsidRPr="00163A12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  <w:p w:rsidR="00221F1D" w:rsidRDefault="00221F1D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21F1D" w:rsidRDefault="00221F1D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Improvements to the Property consist of an approximately 9,600 square foot building.  Constru</w:t>
            </w:r>
            <w:r w:rsidR="00644C03">
              <w:rPr>
                <w:rFonts w:ascii="Times New Roman" w:hAnsi="Times New Roman"/>
                <w:sz w:val="22"/>
                <w:szCs w:val="22"/>
              </w:rPr>
              <w:t>ct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ed in 1950, the building was remodeled shortly after the City acquired it in 1978, and again in 1983/84.</w:t>
            </w:r>
          </w:p>
          <w:p w:rsidR="00221F1D" w:rsidRDefault="00221F1D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21F1D" w:rsidRPr="00163A12" w:rsidRDefault="00221F1D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building is currently leased to the Phinney Neighborhood Association, which operates it as the Greenwood Senior Center. </w:t>
            </w:r>
          </w:p>
          <w:p w:rsidR="00BF68DF" w:rsidRDefault="00BF68DF">
            <w:pPr>
              <w:rPr>
                <w:rFonts w:ascii="Times New Roman" w:hAnsi="Times New Roman" w:cs="Times New Roman"/>
              </w:rPr>
            </w:pPr>
          </w:p>
        </w:tc>
      </w:tr>
      <w:tr w:rsidR="0037025A" w:rsidTr="0035547A">
        <w:tc>
          <w:tcPr>
            <w:tcW w:w="3978" w:type="dxa"/>
          </w:tcPr>
          <w:p w:rsidR="0037025A" w:rsidRDefault="0037025A" w:rsidP="0037025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7025A" w:rsidRDefault="0037025A" w:rsidP="00370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Identification numbers</w:t>
            </w:r>
          </w:p>
        </w:tc>
        <w:tc>
          <w:tcPr>
            <w:tcW w:w="5598" w:type="dxa"/>
          </w:tcPr>
          <w:p w:rsid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7025A" w:rsidRP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5A">
              <w:rPr>
                <w:rFonts w:ascii="Times New Roman" w:hAnsi="Times New Roman"/>
                <w:sz w:val="22"/>
                <w:szCs w:val="22"/>
              </w:rPr>
              <w:t xml:space="preserve">(Assessor) tax parcel number: </w:t>
            </w:r>
            <w:r w:rsidR="00747A11">
              <w:rPr>
                <w:rFonts w:ascii="Times New Roman" w:hAnsi="Times New Roman"/>
                <w:sz w:val="22"/>
                <w:szCs w:val="22"/>
              </w:rPr>
              <w:t>6430500322</w:t>
            </w:r>
          </w:p>
          <w:p w:rsidR="0037025A" w:rsidRP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7025A" w:rsidRP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7025A">
              <w:rPr>
                <w:rFonts w:ascii="Times New Roman" w:hAnsi="Times New Roman"/>
                <w:sz w:val="22"/>
                <w:szCs w:val="22"/>
              </w:rPr>
              <w:t>PMA: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0145</w:t>
            </w:r>
          </w:p>
          <w:p w:rsidR="0037025A" w:rsidRP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702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Subject parcel: (Department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PMA </w:t>
            </w:r>
            <w:r w:rsidRPr="0037025A">
              <w:rPr>
                <w:rFonts w:ascii="Times New Roman" w:hAnsi="Times New Roman"/>
                <w:color w:val="000000"/>
                <w:sz w:val="22"/>
                <w:szCs w:val="22"/>
              </w:rPr>
              <w:t>ID) A50352</w:t>
            </w:r>
          </w:p>
          <w:p w:rsidR="0037025A" w:rsidRPr="0037025A" w:rsidRDefault="0037025A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7A5E" w:rsidTr="0035547A">
        <w:tc>
          <w:tcPr>
            <w:tcW w:w="9576" w:type="dxa"/>
            <w:gridSpan w:val="2"/>
          </w:tcPr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987A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(continued on next page)</w:t>
            </w:r>
          </w:p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5547A" w:rsidRDefault="0035547A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5547A" w:rsidRDefault="0035547A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5547A" w:rsidRDefault="0035547A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5547A" w:rsidRDefault="0035547A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87A5E" w:rsidRDefault="00987A5E" w:rsidP="00987A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of property</w:t>
            </w:r>
          </w:p>
          <w:p w:rsidR="00987A5E" w:rsidRDefault="00987A5E" w:rsidP="00987A5E">
            <w:pPr>
              <w:rPr>
                <w:rFonts w:ascii="Times New Roman" w:hAnsi="Times New Roman" w:cs="Times New Roman"/>
              </w:rPr>
            </w:pPr>
          </w:p>
          <w:p w:rsidR="00987A5E" w:rsidRPr="0028658E" w:rsidRDefault="00987A5E" w:rsidP="00987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8F4AD" wp14:editId="6ACF7C25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124460</wp:posOffset>
                      </wp:positionV>
                      <wp:extent cx="484505" cy="977900"/>
                      <wp:effectExtent l="19050" t="0" r="10795" b="31750"/>
                      <wp:wrapNone/>
                      <wp:docPr id="8" name="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977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8" o:spid="_x0000_s1026" type="#_x0000_t67" style="position:absolute;margin-left:243pt;margin-top:9.8pt;width:38.1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" adj="16249" fillcolor="#4f81bd [3204]" strokecolor="#243f60 [1604]" strokeweight="2pt"/>
                  </w:pict>
                </mc:Fallback>
              </mc:AlternateContent>
            </w:r>
          </w:p>
          <w:p w:rsidR="00987A5E" w:rsidRPr="00987A5E" w:rsidRDefault="00987A5E" w:rsidP="00987A5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4DA757A" wp14:editId="3BD9A1A9">
                  <wp:extent cx="5943600" cy="2781787"/>
                  <wp:effectExtent l="0" t="0" r="0" b="0"/>
                  <wp:docPr id="7" name="Picture 7" descr="cid:image001.png@01D067DB.55F431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067DB.55F431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78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A5E" w:rsidRPr="00987A5E" w:rsidRDefault="00987A5E" w:rsidP="00987A5E">
            <w:pPr>
              <w:rPr>
                <w:rFonts w:ascii="Times New Roman" w:hAnsi="Times New Roman" w:cs="Times New Roman"/>
              </w:rPr>
            </w:pPr>
          </w:p>
          <w:p w:rsidR="00987A5E" w:rsidRDefault="00987A5E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65C02" w:rsidTr="0035547A">
        <w:tc>
          <w:tcPr>
            <w:tcW w:w="3978" w:type="dxa"/>
          </w:tcPr>
          <w:p w:rsidR="00765C02" w:rsidRDefault="00765C02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65C02" w:rsidRDefault="00765C02" w:rsidP="00765C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history of property, including the original funding source and the reason the City acquired it</w:t>
            </w:r>
          </w:p>
          <w:p w:rsidR="00765C02" w:rsidRPr="00765C02" w:rsidRDefault="00765C02" w:rsidP="00765C0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:rsidR="00765C02" w:rsidRDefault="00765C02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C9336C" w:rsidRDefault="00765C02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City acquired the property in </w:t>
            </w:r>
            <w:r w:rsidR="00C9336C">
              <w:rPr>
                <w:rFonts w:ascii="Times New Roman" w:hAnsi="Times New Roman"/>
                <w:sz w:val="22"/>
                <w:szCs w:val="22"/>
              </w:rPr>
              <w:t>1978 from Clayton  Noonan, M.D., and</w:t>
            </w:r>
            <w:r w:rsidR="00624C87">
              <w:rPr>
                <w:rFonts w:ascii="Times New Roman" w:hAnsi="Times New Roman"/>
                <w:sz w:val="22"/>
                <w:szCs w:val="22"/>
              </w:rPr>
              <w:t xml:space="preserve"> his wife, Sherleen,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 use as a senior center.</w:t>
            </w:r>
            <w:r w:rsidR="00C9336C">
              <w:rPr>
                <w:rFonts w:ascii="Times New Roman" w:hAnsi="Times New Roman"/>
                <w:sz w:val="22"/>
                <w:szCs w:val="22"/>
              </w:rPr>
              <w:t xml:space="preserve">  Dr. Noonan constructed the original </w:t>
            </w:r>
            <w:r w:rsidR="002C6675">
              <w:rPr>
                <w:rFonts w:ascii="Times New Roman" w:hAnsi="Times New Roman"/>
                <w:sz w:val="22"/>
                <w:szCs w:val="22"/>
              </w:rPr>
              <w:t xml:space="preserve">two-story </w:t>
            </w:r>
            <w:r w:rsidR="00C9336C">
              <w:rPr>
                <w:rFonts w:ascii="Times New Roman" w:hAnsi="Times New Roman"/>
                <w:sz w:val="22"/>
                <w:szCs w:val="22"/>
              </w:rPr>
              <w:t xml:space="preserve">building in the early 1950s to house his medical practice.  </w:t>
            </w:r>
          </w:p>
          <w:p w:rsidR="00C9336C" w:rsidRDefault="00C9336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C9336C" w:rsidRDefault="00C9336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2C6675">
              <w:rPr>
                <w:rFonts w:ascii="Times New Roman" w:hAnsi="Times New Roman"/>
                <w:sz w:val="22"/>
                <w:szCs w:val="22"/>
              </w:rPr>
              <w:t>acquisition and</w:t>
            </w:r>
            <w:r w:rsidR="00CE3743">
              <w:rPr>
                <w:rFonts w:ascii="Times New Roman" w:hAnsi="Times New Roman"/>
                <w:sz w:val="22"/>
                <w:szCs w:val="22"/>
              </w:rPr>
              <w:t xml:space="preserve"> an ensuing remodel (total cost</w:t>
            </w:r>
            <w:r w:rsidR="002C6675">
              <w:rPr>
                <w:rFonts w:ascii="Times New Roman" w:hAnsi="Times New Roman"/>
                <w:sz w:val="22"/>
                <w:szCs w:val="22"/>
              </w:rPr>
              <w:t xml:space="preserve"> of approximately $413,000) was funded with a blend of funds: approximately $94,000 in Referendum 29 funds, $10,000 in Federal title V funds, $296,000 in </w:t>
            </w:r>
            <w:r w:rsidR="00C05533">
              <w:rPr>
                <w:rFonts w:ascii="Times New Roman" w:hAnsi="Times New Roman"/>
                <w:sz w:val="22"/>
                <w:szCs w:val="22"/>
              </w:rPr>
              <w:t xml:space="preserve">federal Community Development </w:t>
            </w:r>
            <w:r w:rsidR="002C6675">
              <w:rPr>
                <w:rFonts w:ascii="Times New Roman" w:hAnsi="Times New Roman"/>
                <w:sz w:val="22"/>
                <w:szCs w:val="22"/>
              </w:rPr>
              <w:t>Block Grant</w:t>
            </w:r>
            <w:r w:rsidR="004F528F">
              <w:rPr>
                <w:rFonts w:ascii="Times New Roman" w:hAnsi="Times New Roman"/>
                <w:sz w:val="22"/>
                <w:szCs w:val="22"/>
              </w:rPr>
              <w:t xml:space="preserve"> (“</w:t>
            </w:r>
            <w:r w:rsidR="004F528F" w:rsidRPr="004F528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CDBG</w:t>
            </w:r>
            <w:r w:rsidR="004F528F">
              <w:rPr>
                <w:rFonts w:ascii="Times New Roman" w:hAnsi="Times New Roman"/>
                <w:sz w:val="22"/>
                <w:szCs w:val="22"/>
              </w:rPr>
              <w:t>”)</w:t>
            </w:r>
            <w:r w:rsidR="002C6675">
              <w:rPr>
                <w:rFonts w:ascii="Times New Roman" w:hAnsi="Times New Roman"/>
                <w:sz w:val="22"/>
                <w:szCs w:val="22"/>
              </w:rPr>
              <w:t xml:space="preserve"> funds, and $13,000 in other funds, the source of which is unknown.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C6675" w:rsidRDefault="002C6675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C9336C" w:rsidRDefault="00C9336C" w:rsidP="00BF1F9D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025A" w:rsidTr="0035547A">
        <w:tc>
          <w:tcPr>
            <w:tcW w:w="3978" w:type="dxa"/>
          </w:tcPr>
          <w:p w:rsidR="0037025A" w:rsidRPr="00CE3743" w:rsidRDefault="0037025A" w:rsidP="00370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3743">
              <w:rPr>
                <w:rFonts w:ascii="Times New Roman" w:hAnsi="Times New Roman" w:cs="Times New Roman"/>
              </w:rPr>
              <w:t>Snapshots or aerial photos</w:t>
            </w:r>
          </w:p>
        </w:tc>
        <w:tc>
          <w:tcPr>
            <w:tcW w:w="5598" w:type="dxa"/>
          </w:tcPr>
          <w:p w:rsidR="00392517" w:rsidRPr="00CE3743" w:rsidRDefault="00392517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E3743">
              <w:rPr>
                <w:rFonts w:ascii="Times New Roman" w:hAnsi="Times New Roman"/>
                <w:sz w:val="22"/>
                <w:szCs w:val="22"/>
              </w:rPr>
              <w:t>None currently available</w:t>
            </w:r>
          </w:p>
          <w:p w:rsidR="00392517" w:rsidRPr="00CE3743" w:rsidRDefault="00392517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743" w:rsidTr="008D5460">
        <w:tc>
          <w:tcPr>
            <w:tcW w:w="9576" w:type="dxa"/>
            <w:gridSpan w:val="2"/>
          </w:tcPr>
          <w:p w:rsidR="00CE3743" w:rsidRPr="00CE3743" w:rsidRDefault="00CE3743" w:rsidP="00CE3743">
            <w:pPr>
              <w:pStyle w:val="BodyTex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3743">
              <w:rPr>
                <w:rFonts w:ascii="Times New Roman" w:hAnsi="Times New Roman"/>
                <w:sz w:val="22"/>
                <w:szCs w:val="22"/>
              </w:rPr>
              <w:t>(continued on next page)</w:t>
            </w:r>
          </w:p>
        </w:tc>
      </w:tr>
      <w:tr w:rsidR="00392517" w:rsidTr="0035547A">
        <w:tc>
          <w:tcPr>
            <w:tcW w:w="3978" w:type="dxa"/>
          </w:tcPr>
          <w:p w:rsidR="00392517" w:rsidRPr="00CE3743" w:rsidRDefault="00392517" w:rsidP="0037025A">
            <w:pPr>
              <w:rPr>
                <w:rFonts w:ascii="Times New Roman" w:hAnsi="Times New Roman" w:cs="Times New Roman"/>
              </w:rPr>
            </w:pPr>
          </w:p>
          <w:p w:rsidR="00392517" w:rsidRPr="00CE3743" w:rsidRDefault="006B7BA1" w:rsidP="003925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E3743">
              <w:rPr>
                <w:rFonts w:ascii="Times New Roman" w:hAnsi="Times New Roman" w:cs="Times New Roman"/>
              </w:rPr>
              <w:t>Copy of each ordinance authorizing acquisition, and any amendments or updates to that ordinance(s)</w:t>
            </w:r>
          </w:p>
          <w:p w:rsidR="00392517" w:rsidRPr="00CE3743" w:rsidRDefault="00392517" w:rsidP="0037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:rsidR="00392517" w:rsidRPr="00CE3743" w:rsidRDefault="00392517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B7BA1" w:rsidRPr="00CE3743" w:rsidRDefault="006B7BA1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E3743">
              <w:rPr>
                <w:rFonts w:ascii="Times New Roman" w:hAnsi="Times New Roman"/>
                <w:sz w:val="22"/>
                <w:szCs w:val="22"/>
              </w:rPr>
              <w:t>See Seattle City Council ordinance 107016</w:t>
            </w:r>
            <w:r w:rsidR="00747A11" w:rsidRPr="00CE3743">
              <w:rPr>
                <w:rFonts w:ascii="Times New Roman" w:hAnsi="Times New Roman"/>
                <w:sz w:val="22"/>
                <w:szCs w:val="22"/>
              </w:rPr>
              <w:t>, authorizing acquisition of the property.</w:t>
            </w:r>
          </w:p>
          <w:p w:rsidR="000441BB" w:rsidRPr="00CE3743" w:rsidRDefault="000441BB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0441BB" w:rsidRPr="00CE3743" w:rsidRDefault="000441BB" w:rsidP="0040010D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7BA1" w:rsidTr="0035547A">
        <w:tc>
          <w:tcPr>
            <w:tcW w:w="3978" w:type="dxa"/>
          </w:tcPr>
          <w:p w:rsidR="006B7BA1" w:rsidRDefault="006B7BA1" w:rsidP="0037025A">
            <w:pPr>
              <w:rPr>
                <w:rFonts w:ascii="Times New Roman" w:hAnsi="Times New Roman" w:cs="Times New Roman"/>
              </w:rPr>
            </w:pPr>
          </w:p>
          <w:p w:rsidR="00765C02" w:rsidRPr="00765C02" w:rsidRDefault="00747A11" w:rsidP="007030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Citation of ordinances, statutes and regulations that apply to this Property.</w:t>
            </w:r>
          </w:p>
        </w:tc>
        <w:tc>
          <w:tcPr>
            <w:tcW w:w="5598" w:type="dxa"/>
          </w:tcPr>
          <w:p w:rsidR="006B7BA1" w:rsidRDefault="006B7BA1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C6CE7" w:rsidRDefault="00CE3743" w:rsidP="00154AB8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RCW </w:t>
            </w:r>
            <w:r w:rsidR="00154AB8">
              <w:rPr>
                <w:rFonts w:ascii="Times New Roman" w:hAnsi="Times New Roman"/>
                <w:sz w:val="22"/>
                <w:szCs w:val="22"/>
              </w:rPr>
              <w:t>43.83D.120</w:t>
            </w:r>
            <w:r w:rsidR="009C6CE7">
              <w:rPr>
                <w:rFonts w:ascii="Times New Roman" w:hAnsi="Times New Roman"/>
                <w:sz w:val="22"/>
                <w:szCs w:val="22"/>
              </w:rPr>
              <w:t xml:space="preserve">, which permits the transfer </w:t>
            </w:r>
            <w:r w:rsidR="00154AB8">
              <w:rPr>
                <w:rFonts w:ascii="Times New Roman" w:hAnsi="Times New Roman"/>
                <w:sz w:val="22"/>
                <w:szCs w:val="22"/>
              </w:rPr>
              <w:t>of real property and facilities to certain types of nonprofit corporations</w:t>
            </w:r>
          </w:p>
        </w:tc>
      </w:tr>
      <w:tr w:rsidR="00154AB8" w:rsidTr="0035547A">
        <w:tc>
          <w:tcPr>
            <w:tcW w:w="3978" w:type="dxa"/>
          </w:tcPr>
          <w:p w:rsidR="00154AB8" w:rsidRDefault="00154AB8" w:rsidP="0037025A">
            <w:pPr>
              <w:rPr>
                <w:rFonts w:ascii="Times New Roman" w:hAnsi="Times New Roman" w:cs="Times New Roman"/>
              </w:rPr>
            </w:pPr>
          </w:p>
          <w:p w:rsidR="007A6374" w:rsidRDefault="007A6374" w:rsidP="0037025A">
            <w:pPr>
              <w:rPr>
                <w:rFonts w:ascii="Times New Roman" w:hAnsi="Times New Roman" w:cs="Times New Roman"/>
              </w:rPr>
            </w:pPr>
          </w:p>
          <w:p w:rsidR="00154AB8" w:rsidRPr="00154AB8" w:rsidRDefault="00154AB8" w:rsidP="00154A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easements, covenants and restriction</w:t>
            </w:r>
            <w:r w:rsidR="007A637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(as flagged in RPAMIS)</w:t>
            </w:r>
          </w:p>
        </w:tc>
        <w:tc>
          <w:tcPr>
            <w:tcW w:w="5598" w:type="dxa"/>
          </w:tcPr>
          <w:p w:rsidR="00154AB8" w:rsidRDefault="00154AB8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A6374" w:rsidRDefault="007A6374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54AB8" w:rsidRDefault="00154AB8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None noted</w:t>
            </w:r>
          </w:p>
          <w:p w:rsidR="002640BC" w:rsidRDefault="002640B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640BC" w:rsidRDefault="002640B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640BC" w:rsidRDefault="002640B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40BC" w:rsidTr="0035547A">
        <w:tc>
          <w:tcPr>
            <w:tcW w:w="3978" w:type="dxa"/>
          </w:tcPr>
          <w:p w:rsidR="002640BC" w:rsidRDefault="002640BC" w:rsidP="0037025A">
            <w:pPr>
              <w:rPr>
                <w:rFonts w:ascii="Times New Roman" w:hAnsi="Times New Roman" w:cs="Times New Roman"/>
              </w:rPr>
            </w:pPr>
          </w:p>
          <w:p w:rsidR="002640BC" w:rsidRDefault="002640BC" w:rsidP="00264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Recommended easements, covenants and restriction</w:t>
            </w:r>
            <w:r w:rsidR="007A637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upon transfer</w:t>
            </w:r>
          </w:p>
          <w:p w:rsidR="002640BC" w:rsidRPr="002640BC" w:rsidRDefault="002640BC" w:rsidP="002640B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:rsidR="002640BC" w:rsidRDefault="002640B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4F528F" w:rsidRDefault="004F528F" w:rsidP="004F528F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 this time Real Estate Services anticipates that a transfer of the Property to a qualified non-profit organization pursuant to RCW</w:t>
            </w:r>
            <w:r w:rsidR="00CE37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43.83D.120 would trigger the need for a covenant obligating such non-profit to utilize all or part of the Property for the delivery of social services.  </w:t>
            </w:r>
          </w:p>
          <w:p w:rsidR="004F528F" w:rsidRDefault="004F528F" w:rsidP="002B5734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B5734" w:rsidRDefault="002B5734" w:rsidP="004F528F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 addition, </w:t>
            </w:r>
            <w:r w:rsidR="004F528F">
              <w:rPr>
                <w:rFonts w:ascii="Times New Roman" w:hAnsi="Times New Roman"/>
                <w:sz w:val="22"/>
                <w:szCs w:val="22"/>
              </w:rPr>
              <w:t xml:space="preserve">given that CDBG funds were used to finance part of the Property’s acquisition price, Real Estate Services anticipates that federal </w:t>
            </w:r>
            <w:r>
              <w:rPr>
                <w:rFonts w:ascii="Times New Roman" w:hAnsi="Times New Roman"/>
                <w:sz w:val="22"/>
                <w:szCs w:val="22"/>
              </w:rPr>
              <w:t>regulati</w:t>
            </w:r>
            <w:r w:rsidR="00C05533">
              <w:rPr>
                <w:rFonts w:ascii="Times New Roman" w:hAnsi="Times New Roman"/>
                <w:sz w:val="22"/>
                <w:szCs w:val="22"/>
              </w:rPr>
              <w:t xml:space="preserve">ons </w:t>
            </w:r>
            <w:r w:rsidR="004F528F">
              <w:rPr>
                <w:rFonts w:ascii="Times New Roman" w:hAnsi="Times New Roman"/>
                <w:sz w:val="22"/>
                <w:szCs w:val="22"/>
              </w:rPr>
              <w:t xml:space="preserve">governing the CDBG funds might require an additional covenant. </w:t>
            </w:r>
          </w:p>
          <w:p w:rsidR="004F528F" w:rsidRDefault="004F528F" w:rsidP="004F528F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40BC" w:rsidTr="0035547A">
        <w:tc>
          <w:tcPr>
            <w:tcW w:w="3978" w:type="dxa"/>
          </w:tcPr>
          <w:p w:rsidR="002640BC" w:rsidRDefault="002640BC" w:rsidP="0037025A">
            <w:pPr>
              <w:rPr>
                <w:rFonts w:ascii="Times New Roman" w:hAnsi="Times New Roman" w:cs="Times New Roman"/>
              </w:rPr>
            </w:pPr>
          </w:p>
          <w:p w:rsidR="002640BC" w:rsidRDefault="002640BC" w:rsidP="00264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Jurisdictional Department’s opinion on any current code or ordinance violations or delinquencies</w:t>
            </w:r>
          </w:p>
          <w:p w:rsidR="002640BC" w:rsidRPr="002640BC" w:rsidRDefault="002640BC" w:rsidP="002640B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:rsidR="002640BC" w:rsidRDefault="002640B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640BC" w:rsidRDefault="002640B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Not applicable</w:t>
            </w:r>
          </w:p>
        </w:tc>
      </w:tr>
      <w:tr w:rsidR="002640BC" w:rsidTr="0035547A">
        <w:tc>
          <w:tcPr>
            <w:tcW w:w="3978" w:type="dxa"/>
          </w:tcPr>
          <w:p w:rsidR="002640BC" w:rsidRDefault="002640BC" w:rsidP="0037025A">
            <w:pPr>
              <w:rPr>
                <w:rFonts w:ascii="Times New Roman" w:hAnsi="Times New Roman" w:cs="Times New Roman"/>
              </w:rPr>
            </w:pPr>
          </w:p>
          <w:p w:rsidR="002640BC" w:rsidRDefault="002640BC" w:rsidP="002640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Funds to which sale proceeds would accrue</w:t>
            </w:r>
          </w:p>
          <w:p w:rsidR="002640BC" w:rsidRPr="002640BC" w:rsidRDefault="002640BC" w:rsidP="002640B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:rsidR="002640BC" w:rsidRDefault="002640B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640BC" w:rsidRDefault="00105782" w:rsidP="0070308C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 this time Real Estate Services is operating under the presumption that any cash proceeds from a transfer or sale of the Property will accrue to the City’s general fund.</w:t>
            </w:r>
          </w:p>
          <w:p w:rsidR="00105782" w:rsidRDefault="00105782" w:rsidP="0070308C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40BC" w:rsidTr="0035547A">
        <w:tc>
          <w:tcPr>
            <w:tcW w:w="3978" w:type="dxa"/>
          </w:tcPr>
          <w:p w:rsidR="002640BC" w:rsidRDefault="002640BC" w:rsidP="00E234B5">
            <w:pPr>
              <w:rPr>
                <w:rFonts w:ascii="Times New Roman" w:hAnsi="Times New Roman" w:cs="Times New Roman"/>
              </w:rPr>
            </w:pPr>
          </w:p>
          <w:p w:rsidR="00E234B5" w:rsidRDefault="00E234B5" w:rsidP="00E234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Jurisdictional Department’s rough estimate of market value, expressed as a range of value, and basis for conclusion</w:t>
            </w:r>
          </w:p>
          <w:p w:rsidR="00E234B5" w:rsidRDefault="00E234B5" w:rsidP="00E234B5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E234B5" w:rsidRPr="00E234B5" w:rsidRDefault="00E234B5" w:rsidP="00B115F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:rsidR="002640BC" w:rsidRDefault="002640B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05782" w:rsidRDefault="00E43398" w:rsidP="00105782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$1.8 </w:t>
            </w:r>
            <w:r w:rsidR="004F528F">
              <w:rPr>
                <w:rFonts w:ascii="Times New Roman" w:hAnsi="Times New Roman"/>
                <w:sz w:val="22"/>
                <w:szCs w:val="22"/>
              </w:rPr>
              <w:t>to $2.2 million.  This range of value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assumes no value is assigned to the Property’s existing improvements.  It is </w:t>
            </w:r>
            <w:r w:rsidR="004F528F">
              <w:rPr>
                <w:rFonts w:ascii="Times New Roman" w:hAnsi="Times New Roman"/>
                <w:sz w:val="22"/>
                <w:szCs w:val="22"/>
              </w:rPr>
              <w:t xml:space="preserve">derived from a land area of 21,987 square feet and a per square foot land value of </w:t>
            </w:r>
            <w:r w:rsidR="003B5833">
              <w:rPr>
                <w:rFonts w:ascii="Times New Roman" w:hAnsi="Times New Roman"/>
                <w:sz w:val="22"/>
                <w:szCs w:val="22"/>
              </w:rPr>
              <w:t xml:space="preserve">$90.  The land value of $49 per square foot was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extracted </w:t>
            </w:r>
            <w:r w:rsidR="00105782">
              <w:rPr>
                <w:rFonts w:ascii="Times New Roman" w:hAnsi="Times New Roman"/>
                <w:sz w:val="22"/>
                <w:szCs w:val="22"/>
              </w:rPr>
              <w:t xml:space="preserve">from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the King County Assessor’s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Commercial Revalue/2014 Assessment Roll for Area </w:t>
            </w:r>
            <w:r w:rsidRPr="00CE3743">
              <w:rPr>
                <w:rFonts w:ascii="Times New Roman" w:hAnsi="Times New Roman"/>
                <w:i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, specifically</w:t>
            </w:r>
            <w:r w:rsidR="00105782">
              <w:rPr>
                <w:rFonts w:ascii="Times New Roman" w:hAnsi="Times New Roman"/>
                <w:sz w:val="22"/>
                <w:szCs w:val="22"/>
              </w:rPr>
              <w:t>, the estimated land value per square</w:t>
            </w:r>
            <w:r w:rsidR="00CE3743">
              <w:rPr>
                <w:rFonts w:ascii="Times New Roman" w:hAnsi="Times New Roman"/>
                <w:sz w:val="22"/>
                <w:szCs w:val="22"/>
              </w:rPr>
              <w:t xml:space="preserve"> foot</w:t>
            </w:r>
            <w:r w:rsidR="00105782">
              <w:rPr>
                <w:rFonts w:ascii="Times New Roman" w:hAnsi="Times New Roman"/>
                <w:sz w:val="22"/>
                <w:szCs w:val="22"/>
              </w:rPr>
              <w:t xml:space="preserve"> for properties zoned NC2-40 within the 19-40 subarea. </w:t>
            </w:r>
          </w:p>
          <w:p w:rsidR="00A522FC" w:rsidRDefault="00A522FC" w:rsidP="0037025A">
            <w:pPr>
              <w:pStyle w:val="BodyText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743" w:rsidTr="002E51A4">
        <w:tc>
          <w:tcPr>
            <w:tcW w:w="9576" w:type="dxa"/>
            <w:gridSpan w:val="2"/>
          </w:tcPr>
          <w:p w:rsidR="00CE3743" w:rsidRDefault="00CE3743" w:rsidP="00CE3743">
            <w:pPr>
              <w:pStyle w:val="BodyText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4383D" w:rsidRPr="0035547A" w:rsidRDefault="00B4383D">
      <w:pPr>
        <w:rPr>
          <w:rFonts w:ascii="Times New Roman" w:hAnsi="Times New Roman" w:cs="Times New Roman"/>
        </w:rPr>
      </w:pPr>
    </w:p>
    <w:p w:rsidR="00B4383D" w:rsidRDefault="00B4383D"/>
    <w:sectPr w:rsidR="00B4383D" w:rsidSect="00105782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8F" w:rsidRDefault="004F528F" w:rsidP="004F528F">
      <w:pPr>
        <w:spacing w:after="0" w:line="240" w:lineRule="auto"/>
      </w:pPr>
      <w:r>
        <w:separator/>
      </w:r>
    </w:p>
  </w:endnote>
  <w:endnote w:type="continuationSeparator" w:id="0">
    <w:p w:rsidR="004F528F" w:rsidRDefault="004F528F" w:rsidP="004F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8F" w:rsidRDefault="004F528F" w:rsidP="004F528F">
      <w:pPr>
        <w:spacing w:after="0" w:line="240" w:lineRule="auto"/>
      </w:pPr>
      <w:r>
        <w:separator/>
      </w:r>
    </w:p>
  </w:footnote>
  <w:footnote w:type="continuationSeparator" w:id="0">
    <w:p w:rsidR="004F528F" w:rsidRDefault="004F528F" w:rsidP="004F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8F" w:rsidRPr="004F528F" w:rsidRDefault="004F528F">
    <w:pPr>
      <w:pStyle w:val="Header"/>
      <w:rPr>
        <w:rFonts w:ascii="Times New Roman" w:hAnsi="Times New Roman" w:cs="Times New Roman"/>
        <w:b/>
        <w:sz w:val="20"/>
        <w:szCs w:val="20"/>
      </w:rPr>
    </w:pPr>
    <w:r w:rsidRPr="004F528F">
      <w:rPr>
        <w:rFonts w:ascii="Times New Roman" w:hAnsi="Times New Roman" w:cs="Times New Roman"/>
        <w:b/>
        <w:sz w:val="20"/>
        <w:szCs w:val="20"/>
      </w:rPr>
      <w:t>Greenwood Senior Center</w:t>
    </w:r>
  </w:p>
  <w:p w:rsidR="004F528F" w:rsidRPr="004F528F" w:rsidRDefault="004F528F">
    <w:pPr>
      <w:pStyle w:val="Header"/>
      <w:rPr>
        <w:rFonts w:ascii="Times New Roman" w:hAnsi="Times New Roman" w:cs="Times New Roman"/>
        <w:b/>
        <w:sz w:val="20"/>
        <w:szCs w:val="20"/>
      </w:rPr>
    </w:pPr>
    <w:r w:rsidRPr="004F528F">
      <w:rPr>
        <w:rFonts w:ascii="Times New Roman" w:hAnsi="Times New Roman" w:cs="Times New Roman"/>
        <w:b/>
        <w:sz w:val="20"/>
        <w:szCs w:val="20"/>
      </w:rPr>
      <w:t>Excess Property Description</w:t>
    </w:r>
  </w:p>
  <w:p w:rsidR="004F528F" w:rsidRPr="004F528F" w:rsidRDefault="004F528F">
    <w:pPr>
      <w:pStyle w:val="Header"/>
      <w:rPr>
        <w:rFonts w:ascii="Times New Roman" w:hAnsi="Times New Roman" w:cs="Times New Roman"/>
        <w:b/>
        <w:sz w:val="20"/>
        <w:szCs w:val="20"/>
      </w:rPr>
    </w:pPr>
    <w:r w:rsidRPr="004F528F">
      <w:rPr>
        <w:rFonts w:ascii="Times New Roman" w:hAnsi="Times New Roman" w:cs="Times New Roman"/>
        <w:b/>
        <w:sz w:val="20"/>
        <w:szCs w:val="20"/>
      </w:rPr>
      <w:t xml:space="preserve">Page </w:t>
    </w:r>
    <w:r w:rsidRPr="004F528F">
      <w:rPr>
        <w:rFonts w:ascii="Times New Roman" w:hAnsi="Times New Roman" w:cs="Times New Roman"/>
        <w:b/>
        <w:sz w:val="20"/>
        <w:szCs w:val="20"/>
      </w:rPr>
      <w:fldChar w:fldCharType="begin"/>
    </w:r>
    <w:r w:rsidRPr="004F528F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4F528F">
      <w:rPr>
        <w:rFonts w:ascii="Times New Roman" w:hAnsi="Times New Roman" w:cs="Times New Roman"/>
        <w:b/>
        <w:sz w:val="20"/>
        <w:szCs w:val="20"/>
      </w:rPr>
      <w:fldChar w:fldCharType="separate"/>
    </w:r>
    <w:r w:rsidR="00644C03">
      <w:rPr>
        <w:rFonts w:ascii="Times New Roman" w:hAnsi="Times New Roman" w:cs="Times New Roman"/>
        <w:b/>
        <w:noProof/>
        <w:sz w:val="20"/>
        <w:szCs w:val="20"/>
      </w:rPr>
      <w:t>2</w:t>
    </w:r>
    <w:r w:rsidRPr="004F528F">
      <w:rPr>
        <w:rFonts w:ascii="Times New Roman" w:hAnsi="Times New Roman" w:cs="Times New Roman"/>
        <w:b/>
        <w:sz w:val="20"/>
        <w:szCs w:val="20"/>
      </w:rPr>
      <w:fldChar w:fldCharType="end"/>
    </w:r>
  </w:p>
  <w:p w:rsidR="004F528F" w:rsidRDefault="004F528F">
    <w:pPr>
      <w:pStyle w:val="Header"/>
    </w:pPr>
  </w:p>
  <w:p w:rsidR="004F528F" w:rsidRDefault="004F5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3B9"/>
    <w:multiLevelType w:val="hybridMultilevel"/>
    <w:tmpl w:val="078E3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3D"/>
    <w:rsid w:val="000441BB"/>
    <w:rsid w:val="00105782"/>
    <w:rsid w:val="00154AB8"/>
    <w:rsid w:val="00221F1D"/>
    <w:rsid w:val="002640BC"/>
    <w:rsid w:val="002B5734"/>
    <w:rsid w:val="002C6675"/>
    <w:rsid w:val="002E0987"/>
    <w:rsid w:val="0035547A"/>
    <w:rsid w:val="0037025A"/>
    <w:rsid w:val="00392517"/>
    <w:rsid w:val="003B5833"/>
    <w:rsid w:val="0040010D"/>
    <w:rsid w:val="0047437F"/>
    <w:rsid w:val="004C7546"/>
    <w:rsid w:val="004F528F"/>
    <w:rsid w:val="004F6FB7"/>
    <w:rsid w:val="00624C87"/>
    <w:rsid w:val="00644C03"/>
    <w:rsid w:val="006B7BA1"/>
    <w:rsid w:val="00700DA9"/>
    <w:rsid w:val="0070308C"/>
    <w:rsid w:val="00747A11"/>
    <w:rsid w:val="00765C02"/>
    <w:rsid w:val="007A6374"/>
    <w:rsid w:val="00987A5E"/>
    <w:rsid w:val="009C6CE7"/>
    <w:rsid w:val="00A522FC"/>
    <w:rsid w:val="00B048AC"/>
    <w:rsid w:val="00B115F3"/>
    <w:rsid w:val="00B4383D"/>
    <w:rsid w:val="00BE0087"/>
    <w:rsid w:val="00BF1F9D"/>
    <w:rsid w:val="00BF68DF"/>
    <w:rsid w:val="00C05533"/>
    <w:rsid w:val="00C11B63"/>
    <w:rsid w:val="00C9336C"/>
    <w:rsid w:val="00CE3743"/>
    <w:rsid w:val="00DC20D3"/>
    <w:rsid w:val="00DD180E"/>
    <w:rsid w:val="00E234B5"/>
    <w:rsid w:val="00E43398"/>
    <w:rsid w:val="00F34679"/>
    <w:rsid w:val="00FA5AF1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D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7025A"/>
    <w:pPr>
      <w:spacing w:after="0" w:line="240" w:lineRule="auto"/>
      <w:ind w:firstLine="21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7025A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5E"/>
  </w:style>
  <w:style w:type="paragraph" w:styleId="Footer">
    <w:name w:val="footer"/>
    <w:basedOn w:val="Normal"/>
    <w:link w:val="FooterChar"/>
    <w:uiPriority w:val="99"/>
    <w:unhideWhenUsed/>
    <w:rsid w:val="004F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D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7025A"/>
    <w:pPr>
      <w:spacing w:after="0" w:line="240" w:lineRule="auto"/>
      <w:ind w:firstLine="21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7025A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5E"/>
  </w:style>
  <w:style w:type="paragraph" w:styleId="Footer">
    <w:name w:val="footer"/>
    <w:basedOn w:val="Normal"/>
    <w:link w:val="FooterChar"/>
    <w:uiPriority w:val="99"/>
    <w:unhideWhenUsed/>
    <w:rsid w:val="004F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067DB.55F431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Robert C</dc:creator>
  <cp:lastModifiedBy>Farrell, Robert C</cp:lastModifiedBy>
  <cp:revision>10</cp:revision>
  <cp:lastPrinted>2015-05-08T18:41:00Z</cp:lastPrinted>
  <dcterms:created xsi:type="dcterms:W3CDTF">2015-05-01T18:08:00Z</dcterms:created>
  <dcterms:modified xsi:type="dcterms:W3CDTF">2015-05-08T19:03:00Z</dcterms:modified>
</cp:coreProperties>
</file>