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2CD4D" w14:textId="77777777" w:rsidR="00E833B8" w:rsidRDefault="00E833B8" w:rsidP="00E833B8">
      <w:pPr>
        <w:tabs>
          <w:tab w:val="left" w:pos="2115"/>
        </w:tabs>
        <w:rPr>
          <w:b/>
          <w:noProof/>
          <w:sz w:val="56"/>
          <w:szCs w:val="56"/>
        </w:rPr>
      </w:pPr>
      <w:r>
        <w:rPr>
          <w:b/>
          <w:noProof/>
        </w:rPr>
        <w:drawing>
          <wp:anchor distT="0" distB="0" distL="114300" distR="114300" simplePos="0" relativeHeight="251658240" behindDoc="0" locked="0" layoutInCell="1" allowOverlap="1" wp14:anchorId="0B064AFA" wp14:editId="0B76FFDD">
            <wp:simplePos x="0" y="0"/>
            <wp:positionH relativeFrom="column">
              <wp:posOffset>1990725</wp:posOffset>
            </wp:positionH>
            <wp:positionV relativeFrom="paragraph">
              <wp:posOffset>19050</wp:posOffset>
            </wp:positionV>
            <wp:extent cx="581025" cy="485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                                           </w:t>
      </w:r>
      <w:r w:rsidRPr="00AF56EA">
        <w:rPr>
          <w:b/>
          <w:noProof/>
          <w:sz w:val="56"/>
          <w:szCs w:val="56"/>
        </w:rPr>
        <w:drawing>
          <wp:inline distT="0" distB="0" distL="0" distR="0" wp14:anchorId="6F4266BF" wp14:editId="616CA6B2">
            <wp:extent cx="781050" cy="428625"/>
            <wp:effectExtent l="0" t="0" r="0" b="9525"/>
            <wp:docPr id="2" name="Picture 2" descr="C:\Users\TesfuJ\Desktop\pos_logo_4_color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sfuJ\Desktop\pos_logo_4_color_pri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428625"/>
                    </a:xfrm>
                    <a:prstGeom prst="rect">
                      <a:avLst/>
                    </a:prstGeom>
                    <a:noFill/>
                    <a:ln>
                      <a:noFill/>
                    </a:ln>
                  </pic:spPr>
                </pic:pic>
              </a:graphicData>
            </a:graphic>
          </wp:inline>
        </w:drawing>
      </w:r>
      <w:r>
        <w:rPr>
          <w:b/>
          <w:noProof/>
          <w:sz w:val="56"/>
          <w:szCs w:val="56"/>
        </w:rPr>
        <w:t xml:space="preserve"> </w:t>
      </w:r>
      <w:r w:rsidRPr="00AF56EA">
        <w:rPr>
          <w:b/>
          <w:noProof/>
          <w:sz w:val="56"/>
          <w:szCs w:val="56"/>
        </w:rPr>
        <w:drawing>
          <wp:inline distT="0" distB="0" distL="0" distR="0" wp14:anchorId="2043D781" wp14:editId="65AF255C">
            <wp:extent cx="628650" cy="514350"/>
            <wp:effectExtent l="0" t="0" r="0" b="0"/>
            <wp:docPr id="3" name="Picture 3" descr="C:\Users\TesfuJ\AppData\Local\Microsoft\Windows\Temporary Internet Files\Content.Outlook\CA6U69FS\KClogo_v_bw_m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sfuJ\AppData\Local\Microsoft\Windows\Temporary Internet Files\Content.Outlook\CA6U69FS\KClogo_v_bw_m (002).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514350"/>
                    </a:xfrm>
                    <a:prstGeom prst="rect">
                      <a:avLst/>
                    </a:prstGeom>
                    <a:noFill/>
                    <a:ln>
                      <a:noFill/>
                    </a:ln>
                  </pic:spPr>
                </pic:pic>
              </a:graphicData>
            </a:graphic>
          </wp:inline>
        </w:drawing>
      </w:r>
    </w:p>
    <w:p w14:paraId="40AAD2B2" w14:textId="77777777" w:rsidR="009C56E6" w:rsidRDefault="009C56E6" w:rsidP="00E833B8">
      <w:pPr>
        <w:tabs>
          <w:tab w:val="left" w:pos="2115"/>
        </w:tabs>
        <w:rPr>
          <w:b/>
        </w:rPr>
      </w:pPr>
    </w:p>
    <w:p w14:paraId="7461DAB1" w14:textId="77777777" w:rsidR="00E833B8" w:rsidRPr="00E833B8" w:rsidRDefault="00E833B8" w:rsidP="00E833B8">
      <w:pPr>
        <w:pStyle w:val="ListParagraph"/>
        <w:jc w:val="center"/>
        <w:rPr>
          <w:rFonts w:ascii="Calibri" w:hAnsi="Calibri"/>
          <w:b/>
        </w:rPr>
      </w:pPr>
      <w:r w:rsidRPr="00E833B8">
        <w:rPr>
          <w:rFonts w:ascii="Calibri" w:hAnsi="Calibri"/>
          <w:b/>
        </w:rPr>
        <w:t>Construction Worker Training and Retention Services</w:t>
      </w:r>
    </w:p>
    <w:p w14:paraId="690FA4F2" w14:textId="77777777" w:rsidR="00E833B8" w:rsidRPr="00E833B8" w:rsidRDefault="00E833B8" w:rsidP="00E833B8">
      <w:pPr>
        <w:pStyle w:val="ListParagraph"/>
        <w:jc w:val="center"/>
        <w:rPr>
          <w:rFonts w:ascii="Calibri" w:hAnsi="Calibri"/>
          <w:b/>
        </w:rPr>
      </w:pPr>
      <w:r w:rsidRPr="00E833B8">
        <w:rPr>
          <w:rFonts w:ascii="Calibri" w:hAnsi="Calibri"/>
          <w:b/>
        </w:rPr>
        <w:t>Request for Proposals RFP #FAS-111517</w:t>
      </w:r>
    </w:p>
    <w:p w14:paraId="1837C071" w14:textId="77777777" w:rsidR="00E833B8" w:rsidRPr="00E833B8" w:rsidRDefault="00E833B8" w:rsidP="00E833B8">
      <w:pPr>
        <w:pStyle w:val="ListParagraph"/>
        <w:jc w:val="center"/>
        <w:rPr>
          <w:rFonts w:ascii="Calibri" w:hAnsi="Calibri"/>
          <w:b/>
        </w:rPr>
      </w:pPr>
      <w:r w:rsidRPr="00E833B8">
        <w:rPr>
          <w:rFonts w:ascii="Calibri" w:hAnsi="Calibri"/>
          <w:b/>
        </w:rPr>
        <w:t>Q&amp;A</w:t>
      </w:r>
    </w:p>
    <w:p w14:paraId="2DDE7170" w14:textId="77777777" w:rsidR="00E833B8" w:rsidRPr="00E833B8" w:rsidRDefault="00E833B8" w:rsidP="00E833B8">
      <w:pPr>
        <w:pStyle w:val="ListParagraph"/>
        <w:jc w:val="center"/>
        <w:rPr>
          <w:rFonts w:ascii="Calibri" w:hAnsi="Calibri"/>
          <w:b/>
        </w:rPr>
      </w:pPr>
    </w:p>
    <w:p w14:paraId="49B2ACFB" w14:textId="77777777" w:rsidR="00E833B8" w:rsidRPr="00553280" w:rsidRDefault="00E833B8" w:rsidP="00E833B8">
      <w:pPr>
        <w:spacing w:line="360" w:lineRule="auto"/>
        <w:rPr>
          <w:rFonts w:ascii="Calibri" w:hAnsi="Calibri"/>
          <w:b/>
          <w:i/>
          <w:sz w:val="24"/>
          <w:szCs w:val="24"/>
        </w:rPr>
      </w:pPr>
      <w:r w:rsidRPr="00553280">
        <w:rPr>
          <w:rFonts w:ascii="Calibri" w:hAnsi="Calibri"/>
          <w:b/>
          <w:i/>
          <w:sz w:val="24"/>
          <w:szCs w:val="24"/>
        </w:rPr>
        <w:t>November 20, 2017</w:t>
      </w:r>
    </w:p>
    <w:p w14:paraId="66A2E41C" w14:textId="77777777" w:rsidR="00971BFC" w:rsidRPr="00E833B8" w:rsidRDefault="00E833B8" w:rsidP="00E833B8">
      <w:pPr>
        <w:rPr>
          <w:rFonts w:ascii="Calibri" w:hAnsi="Calibri"/>
          <w:b/>
          <w:i/>
          <w:color w:val="2E74B5" w:themeColor="accent5" w:themeShade="BF"/>
        </w:rPr>
      </w:pPr>
      <w:r w:rsidRPr="00E833B8">
        <w:rPr>
          <w:rFonts w:ascii="Calibri" w:hAnsi="Calibri"/>
          <w:b/>
          <w:i/>
          <w:color w:val="2E74B5" w:themeColor="accent5" w:themeShade="BF"/>
        </w:rPr>
        <w:t xml:space="preserve">Q1: </w:t>
      </w:r>
      <w:r w:rsidR="00971BFC" w:rsidRPr="00E833B8">
        <w:rPr>
          <w:rFonts w:ascii="Calibri" w:hAnsi="Calibri"/>
          <w:b/>
          <w:i/>
          <w:color w:val="2E74B5" w:themeColor="accent5" w:themeShade="BF"/>
        </w:rPr>
        <w:t>Why doesn’t King County have 2019 funds?</w:t>
      </w:r>
    </w:p>
    <w:p w14:paraId="1215F897" w14:textId="77777777" w:rsidR="00971BFC" w:rsidRPr="00E833B8" w:rsidRDefault="00E833B8" w:rsidP="00E833B8">
      <w:pPr>
        <w:rPr>
          <w:rFonts w:ascii="Calibri" w:hAnsi="Calibri"/>
        </w:rPr>
      </w:pPr>
      <w:r w:rsidRPr="00E833B8">
        <w:rPr>
          <w:rFonts w:ascii="Calibri" w:hAnsi="Calibri"/>
        </w:rPr>
        <w:t xml:space="preserve">A: </w:t>
      </w:r>
      <w:r w:rsidR="00971BFC" w:rsidRPr="00E833B8">
        <w:rPr>
          <w:rFonts w:ascii="Calibri" w:hAnsi="Calibri"/>
        </w:rPr>
        <w:t>King County is on a bi-annual budget, so funds for 2019-2020 are unknown at this time.</w:t>
      </w:r>
    </w:p>
    <w:p w14:paraId="6FEE7A57" w14:textId="77777777" w:rsidR="00971BFC" w:rsidRPr="00E833B8" w:rsidRDefault="00971BFC">
      <w:pPr>
        <w:rPr>
          <w:rFonts w:ascii="Calibri" w:hAnsi="Calibri"/>
        </w:rPr>
      </w:pPr>
    </w:p>
    <w:p w14:paraId="2AD8525E" w14:textId="77777777" w:rsidR="00971BFC" w:rsidRPr="00E833B8" w:rsidRDefault="00E833B8" w:rsidP="00E833B8">
      <w:pPr>
        <w:rPr>
          <w:rFonts w:ascii="Calibri" w:hAnsi="Calibri"/>
          <w:b/>
          <w:i/>
          <w:color w:val="2E74B5" w:themeColor="accent5" w:themeShade="BF"/>
        </w:rPr>
      </w:pPr>
      <w:r w:rsidRPr="00E833B8">
        <w:rPr>
          <w:rFonts w:ascii="Calibri" w:hAnsi="Calibri"/>
          <w:b/>
          <w:i/>
          <w:color w:val="2E74B5" w:themeColor="accent5" w:themeShade="BF"/>
        </w:rPr>
        <w:t xml:space="preserve">Q2: </w:t>
      </w:r>
      <w:r w:rsidR="00971BFC" w:rsidRPr="00E833B8">
        <w:rPr>
          <w:rFonts w:ascii="Calibri" w:hAnsi="Calibri"/>
          <w:b/>
          <w:i/>
          <w:color w:val="2E74B5" w:themeColor="accent5" w:themeShade="BF"/>
        </w:rPr>
        <w:t>How long can people submit questions about the RFP?</w:t>
      </w:r>
    </w:p>
    <w:p w14:paraId="47DCB63E" w14:textId="77777777" w:rsidR="0071039D" w:rsidRPr="00E833B8" w:rsidRDefault="00E833B8" w:rsidP="00E833B8">
      <w:pPr>
        <w:rPr>
          <w:rFonts w:ascii="Calibri" w:hAnsi="Calibri"/>
        </w:rPr>
      </w:pPr>
      <w:r>
        <w:rPr>
          <w:rFonts w:ascii="Calibri" w:hAnsi="Calibri"/>
        </w:rPr>
        <w:t xml:space="preserve">A: </w:t>
      </w:r>
      <w:r w:rsidR="00971BFC" w:rsidRPr="00E833B8">
        <w:rPr>
          <w:rFonts w:ascii="Calibri" w:hAnsi="Calibri"/>
        </w:rPr>
        <w:t>The RFP Coordinator, Julianna Tesfu</w:t>
      </w:r>
      <w:r w:rsidR="0089769F" w:rsidRPr="00E833B8">
        <w:rPr>
          <w:rFonts w:ascii="Calibri" w:hAnsi="Calibri"/>
        </w:rPr>
        <w:t xml:space="preserve"> (</w:t>
      </w:r>
      <w:hyperlink r:id="rId10" w:history="1">
        <w:r w:rsidR="0089769F" w:rsidRPr="00E833B8">
          <w:rPr>
            <w:rStyle w:val="Hyperlink"/>
            <w:rFonts w:ascii="Calibri" w:hAnsi="Calibri"/>
          </w:rPr>
          <w:t>LaborEquity@seattle.gov</w:t>
        </w:r>
      </w:hyperlink>
      <w:r w:rsidR="0089769F" w:rsidRPr="00E833B8">
        <w:rPr>
          <w:rFonts w:ascii="Calibri" w:hAnsi="Calibri"/>
        </w:rPr>
        <w:t xml:space="preserve"> or 206-684-4570)</w:t>
      </w:r>
      <w:r w:rsidR="00971BFC" w:rsidRPr="00E833B8">
        <w:rPr>
          <w:rFonts w:ascii="Calibri" w:hAnsi="Calibri"/>
        </w:rPr>
        <w:t xml:space="preserve">, will accept questions until December 13, 4:30 p.m. (PST). She will update the </w:t>
      </w:r>
      <w:r w:rsidR="00D75724" w:rsidRPr="00E833B8">
        <w:rPr>
          <w:rFonts w:ascii="Calibri" w:hAnsi="Calibri"/>
        </w:rPr>
        <w:t xml:space="preserve">Q&amp;A </w:t>
      </w:r>
      <w:r w:rsidR="00971BFC" w:rsidRPr="00E833B8">
        <w:rPr>
          <w:rFonts w:ascii="Calibri" w:hAnsi="Calibri"/>
        </w:rPr>
        <w:t>online weekly (or more if needed) until then.</w:t>
      </w:r>
      <w:r w:rsidR="00D75724" w:rsidRPr="00E833B8">
        <w:rPr>
          <w:rFonts w:ascii="Calibri" w:hAnsi="Calibri"/>
        </w:rPr>
        <w:t xml:space="preserve"> </w:t>
      </w:r>
      <w:r w:rsidR="00D5439C" w:rsidRPr="00E833B8">
        <w:rPr>
          <w:rFonts w:ascii="Calibri" w:hAnsi="Calibri"/>
        </w:rPr>
        <w:t>(</w:t>
      </w:r>
      <w:r w:rsidR="00D5439C" w:rsidRPr="00E833B8">
        <w:rPr>
          <w:rFonts w:ascii="Calibri" w:hAnsi="Calibri" w:cs="Arial"/>
        </w:rPr>
        <w:t>RFP Proposal Schedule)</w:t>
      </w:r>
    </w:p>
    <w:p w14:paraId="7948370C" w14:textId="77777777" w:rsidR="00D75724" w:rsidRPr="00E833B8" w:rsidRDefault="00D75724">
      <w:pPr>
        <w:rPr>
          <w:rFonts w:ascii="Calibri" w:hAnsi="Calibri"/>
        </w:rPr>
      </w:pPr>
    </w:p>
    <w:p w14:paraId="6274AEFC" w14:textId="77777777" w:rsidR="00971BFC" w:rsidRPr="00E833B8" w:rsidRDefault="00E833B8" w:rsidP="00E833B8">
      <w:pPr>
        <w:rPr>
          <w:rFonts w:ascii="Calibri" w:hAnsi="Calibri"/>
          <w:b/>
          <w:i/>
          <w:color w:val="2E74B5" w:themeColor="accent5" w:themeShade="BF"/>
        </w:rPr>
      </w:pPr>
      <w:r w:rsidRPr="00E833B8">
        <w:rPr>
          <w:rFonts w:ascii="Calibri" w:hAnsi="Calibri"/>
          <w:b/>
          <w:i/>
          <w:color w:val="2E74B5" w:themeColor="accent5" w:themeShade="BF"/>
        </w:rPr>
        <w:t xml:space="preserve">Q3: </w:t>
      </w:r>
      <w:r w:rsidR="00971BFC" w:rsidRPr="00E833B8">
        <w:rPr>
          <w:rFonts w:ascii="Calibri" w:hAnsi="Calibri"/>
          <w:b/>
          <w:i/>
          <w:color w:val="2E74B5" w:themeColor="accent5" w:themeShade="BF"/>
        </w:rPr>
        <w:t>How many proposers will be interviewed?</w:t>
      </w:r>
    </w:p>
    <w:p w14:paraId="3169DB7B" w14:textId="77777777" w:rsidR="00501D62" w:rsidRPr="00E833B8" w:rsidRDefault="00E833B8" w:rsidP="00E833B8">
      <w:pPr>
        <w:rPr>
          <w:rFonts w:ascii="Calibri" w:hAnsi="Calibri"/>
        </w:rPr>
      </w:pPr>
      <w:r>
        <w:rPr>
          <w:rFonts w:ascii="Calibri" w:hAnsi="Calibri" w:cs="Arial"/>
        </w:rPr>
        <w:t xml:space="preserve">A: </w:t>
      </w:r>
      <w:r w:rsidR="00971BFC" w:rsidRPr="00E833B8">
        <w:rPr>
          <w:rFonts w:ascii="Calibri" w:hAnsi="Calibri" w:cs="Arial"/>
        </w:rPr>
        <w:t>The interview team(s) may invite as many or as few proposers that are considered to be within a competitive range given the evaluation scores.</w:t>
      </w:r>
      <w:r w:rsidR="008056EB" w:rsidRPr="00E833B8">
        <w:rPr>
          <w:rFonts w:ascii="Calibri" w:hAnsi="Calibri" w:cs="Arial"/>
        </w:rPr>
        <w:t xml:space="preserve"> Interviews are optional, and interview points will be added the proposal evaluation.</w:t>
      </w:r>
      <w:r w:rsidR="00D5439C" w:rsidRPr="00E833B8">
        <w:rPr>
          <w:rFonts w:ascii="Calibri" w:hAnsi="Calibri" w:cs="Arial"/>
        </w:rPr>
        <w:t xml:space="preserve"> (Section 9, Selection Process)</w:t>
      </w:r>
    </w:p>
    <w:p w14:paraId="4515C0AB" w14:textId="77777777" w:rsidR="00971BFC" w:rsidRPr="00E833B8" w:rsidRDefault="00971BFC">
      <w:pPr>
        <w:rPr>
          <w:rFonts w:ascii="Calibri" w:hAnsi="Calibri"/>
          <w:color w:val="2E74B5" w:themeColor="accent5" w:themeShade="BF"/>
        </w:rPr>
      </w:pPr>
    </w:p>
    <w:p w14:paraId="6E8D48CB" w14:textId="77777777" w:rsidR="00971BFC" w:rsidRPr="00E833B8" w:rsidRDefault="00E833B8" w:rsidP="00E833B8">
      <w:pPr>
        <w:rPr>
          <w:rFonts w:ascii="Calibri" w:hAnsi="Calibri"/>
          <w:b/>
          <w:i/>
          <w:color w:val="2E74B5" w:themeColor="accent5" w:themeShade="BF"/>
        </w:rPr>
      </w:pPr>
      <w:r w:rsidRPr="00E833B8">
        <w:rPr>
          <w:rFonts w:ascii="Calibri" w:hAnsi="Calibri"/>
          <w:b/>
          <w:i/>
          <w:color w:val="2E74B5" w:themeColor="accent5" w:themeShade="BF"/>
        </w:rPr>
        <w:t xml:space="preserve">Q4: </w:t>
      </w:r>
      <w:r w:rsidR="00501D62" w:rsidRPr="00E833B8">
        <w:rPr>
          <w:rFonts w:ascii="Calibri" w:hAnsi="Calibri"/>
          <w:b/>
          <w:i/>
          <w:color w:val="2E74B5" w:themeColor="accent5" w:themeShade="BF"/>
        </w:rPr>
        <w:t>Will interviews include questions</w:t>
      </w:r>
      <w:r w:rsidR="00971BFC" w:rsidRPr="00E833B8">
        <w:rPr>
          <w:rFonts w:ascii="Calibri" w:hAnsi="Calibri"/>
          <w:b/>
          <w:i/>
          <w:color w:val="2E74B5" w:themeColor="accent5" w:themeShade="BF"/>
        </w:rPr>
        <w:t xml:space="preserve"> that are different from the proposal</w:t>
      </w:r>
      <w:r w:rsidR="00501D62" w:rsidRPr="00E833B8">
        <w:rPr>
          <w:rFonts w:ascii="Calibri" w:hAnsi="Calibri"/>
          <w:b/>
          <w:i/>
          <w:color w:val="2E74B5" w:themeColor="accent5" w:themeShade="BF"/>
        </w:rPr>
        <w:t xml:space="preserve">? </w:t>
      </w:r>
    </w:p>
    <w:p w14:paraId="3D2E8A6F" w14:textId="12A61220" w:rsidR="00501D62" w:rsidRPr="00E833B8" w:rsidRDefault="00E833B8" w:rsidP="00E833B8">
      <w:pPr>
        <w:rPr>
          <w:rFonts w:ascii="Calibri" w:hAnsi="Calibri"/>
        </w:rPr>
      </w:pPr>
      <w:r>
        <w:rPr>
          <w:rFonts w:ascii="Calibri" w:hAnsi="Calibri"/>
        </w:rPr>
        <w:t xml:space="preserve">A: </w:t>
      </w:r>
      <w:r w:rsidR="00971BFC" w:rsidRPr="00E833B8">
        <w:rPr>
          <w:rFonts w:ascii="Calibri" w:hAnsi="Calibri"/>
        </w:rPr>
        <w:t>The interviews may</w:t>
      </w:r>
      <w:r w:rsidR="00501D62" w:rsidRPr="00E833B8">
        <w:rPr>
          <w:rFonts w:ascii="Calibri" w:hAnsi="Calibri"/>
        </w:rPr>
        <w:t xml:space="preserve"> include clarifying questions </w:t>
      </w:r>
      <w:r w:rsidR="00971BFC" w:rsidRPr="00E833B8">
        <w:rPr>
          <w:rFonts w:ascii="Calibri" w:hAnsi="Calibri"/>
        </w:rPr>
        <w:t xml:space="preserve">about the proposal </w:t>
      </w:r>
      <w:r w:rsidR="00501D62" w:rsidRPr="00E833B8">
        <w:rPr>
          <w:rFonts w:ascii="Calibri" w:hAnsi="Calibri"/>
        </w:rPr>
        <w:t>and new questions. Q</w:t>
      </w:r>
      <w:r w:rsidR="00971BFC" w:rsidRPr="00E833B8">
        <w:rPr>
          <w:rFonts w:ascii="Calibri" w:hAnsi="Calibri"/>
        </w:rPr>
        <w:t xml:space="preserve">uestions for interview will be given </w:t>
      </w:r>
      <w:r w:rsidR="008A5A54">
        <w:rPr>
          <w:rFonts w:ascii="Calibri" w:hAnsi="Calibri"/>
        </w:rPr>
        <w:t xml:space="preserve">prior to </w:t>
      </w:r>
      <w:r w:rsidR="00971BFC" w:rsidRPr="00E833B8">
        <w:rPr>
          <w:rFonts w:ascii="Calibri" w:hAnsi="Calibri"/>
        </w:rPr>
        <w:t>the interview.</w:t>
      </w:r>
      <w:r w:rsidR="00D5439C" w:rsidRPr="00E833B8">
        <w:rPr>
          <w:rFonts w:ascii="Calibri" w:hAnsi="Calibri"/>
        </w:rPr>
        <w:t xml:space="preserve"> </w:t>
      </w:r>
    </w:p>
    <w:p w14:paraId="3D819360" w14:textId="77777777" w:rsidR="00971BFC" w:rsidRPr="00E833B8" w:rsidRDefault="00971BFC" w:rsidP="00971BFC">
      <w:pPr>
        <w:rPr>
          <w:rFonts w:ascii="Calibri" w:hAnsi="Calibri"/>
        </w:rPr>
      </w:pPr>
    </w:p>
    <w:p w14:paraId="2EFF958E" w14:textId="77777777" w:rsidR="00971BFC" w:rsidRPr="00E833B8" w:rsidRDefault="00E833B8" w:rsidP="00E833B8">
      <w:pPr>
        <w:rPr>
          <w:rFonts w:ascii="Calibri" w:hAnsi="Calibri"/>
          <w:b/>
          <w:i/>
          <w:color w:val="2E74B5" w:themeColor="accent5" w:themeShade="BF"/>
        </w:rPr>
      </w:pPr>
      <w:r w:rsidRPr="00E833B8">
        <w:rPr>
          <w:rFonts w:ascii="Calibri" w:hAnsi="Calibri"/>
          <w:b/>
          <w:i/>
          <w:color w:val="2E74B5" w:themeColor="accent5" w:themeShade="BF"/>
        </w:rPr>
        <w:t xml:space="preserve">Q5: </w:t>
      </w:r>
      <w:r w:rsidR="00971BFC" w:rsidRPr="00E833B8">
        <w:rPr>
          <w:rFonts w:ascii="Calibri" w:hAnsi="Calibri"/>
          <w:b/>
          <w:i/>
          <w:color w:val="2E74B5" w:themeColor="accent5" w:themeShade="BF"/>
        </w:rPr>
        <w:t>Can the City award proposals from unlicensed organizations that do not have experience?</w:t>
      </w:r>
    </w:p>
    <w:p w14:paraId="1E192D99" w14:textId="77777777" w:rsidR="00DA0715" w:rsidRPr="00E833B8" w:rsidRDefault="00E833B8" w:rsidP="00E833B8">
      <w:pPr>
        <w:rPr>
          <w:rFonts w:ascii="Calibri" w:hAnsi="Calibri"/>
        </w:rPr>
      </w:pPr>
      <w:r>
        <w:rPr>
          <w:rFonts w:ascii="Calibri" w:hAnsi="Calibri"/>
        </w:rPr>
        <w:t xml:space="preserve">A: </w:t>
      </w:r>
      <w:r w:rsidR="00971BFC" w:rsidRPr="00E833B8">
        <w:rPr>
          <w:rFonts w:ascii="Calibri" w:hAnsi="Calibri"/>
        </w:rPr>
        <w:t>Organizations m</w:t>
      </w:r>
      <w:r w:rsidR="00302EFC" w:rsidRPr="00E833B8">
        <w:rPr>
          <w:rFonts w:ascii="Calibri" w:hAnsi="Calibri"/>
        </w:rPr>
        <w:t>ust be licen</w:t>
      </w:r>
      <w:r w:rsidR="00971BFC" w:rsidRPr="00E833B8">
        <w:rPr>
          <w:rFonts w:ascii="Calibri" w:hAnsi="Calibri"/>
        </w:rPr>
        <w:t xml:space="preserve">sed by contract execution. Past experience is considered </w:t>
      </w:r>
      <w:r w:rsidR="00DA0715" w:rsidRPr="00E833B8">
        <w:rPr>
          <w:rFonts w:ascii="Calibri" w:hAnsi="Calibri"/>
        </w:rPr>
        <w:t xml:space="preserve">in </w:t>
      </w:r>
      <w:r w:rsidR="00971BFC" w:rsidRPr="00E833B8">
        <w:rPr>
          <w:rFonts w:ascii="Calibri" w:hAnsi="Calibri"/>
        </w:rPr>
        <w:t xml:space="preserve">the </w:t>
      </w:r>
      <w:r w:rsidR="00DA0715" w:rsidRPr="00E833B8">
        <w:rPr>
          <w:rFonts w:ascii="Calibri" w:hAnsi="Calibri"/>
        </w:rPr>
        <w:t>proposal evaluation.</w:t>
      </w:r>
      <w:r w:rsidR="00D5439C" w:rsidRPr="00E833B8">
        <w:rPr>
          <w:rFonts w:ascii="Calibri" w:hAnsi="Calibri" w:cs="Arial"/>
        </w:rPr>
        <w:t xml:space="preserve"> (Section 10, Award and Contract Execution)</w:t>
      </w:r>
    </w:p>
    <w:p w14:paraId="46F70539" w14:textId="77777777" w:rsidR="00DA0715" w:rsidRPr="00E833B8" w:rsidRDefault="00DA0715">
      <w:pPr>
        <w:rPr>
          <w:rFonts w:ascii="Calibri" w:hAnsi="Calibri"/>
        </w:rPr>
      </w:pPr>
    </w:p>
    <w:p w14:paraId="0D902FDB" w14:textId="77777777" w:rsidR="00971BFC" w:rsidRPr="00E833B8" w:rsidRDefault="00E833B8" w:rsidP="00E833B8">
      <w:pPr>
        <w:rPr>
          <w:rFonts w:ascii="Calibri" w:hAnsi="Calibri"/>
          <w:b/>
          <w:i/>
          <w:color w:val="2E74B5" w:themeColor="accent5" w:themeShade="BF"/>
        </w:rPr>
      </w:pPr>
      <w:r w:rsidRPr="00E833B8">
        <w:rPr>
          <w:rFonts w:ascii="Calibri" w:hAnsi="Calibri"/>
          <w:b/>
          <w:i/>
          <w:color w:val="2E74B5" w:themeColor="accent5" w:themeShade="BF"/>
        </w:rPr>
        <w:t xml:space="preserve">Q6: </w:t>
      </w:r>
      <w:r w:rsidR="00971BFC" w:rsidRPr="00E833B8">
        <w:rPr>
          <w:rFonts w:ascii="Calibri" w:hAnsi="Calibri"/>
          <w:b/>
          <w:i/>
          <w:color w:val="2E74B5" w:themeColor="accent5" w:themeShade="BF"/>
        </w:rPr>
        <w:t>Do proposals need to include retention services for both apprentices and journey-workers, or can they focus on one or the other?</w:t>
      </w:r>
    </w:p>
    <w:p w14:paraId="6F88975B" w14:textId="77777777" w:rsidR="00DA0715" w:rsidRPr="00E833B8" w:rsidRDefault="00E833B8" w:rsidP="00E833B8">
      <w:pPr>
        <w:rPr>
          <w:rFonts w:ascii="Calibri" w:hAnsi="Calibri" w:cs="Arial"/>
        </w:rPr>
      </w:pPr>
      <w:r>
        <w:rPr>
          <w:rFonts w:ascii="Calibri" w:hAnsi="Calibri"/>
        </w:rPr>
        <w:t xml:space="preserve">A: </w:t>
      </w:r>
      <w:r w:rsidR="00DA0715" w:rsidRPr="00E833B8">
        <w:rPr>
          <w:rFonts w:ascii="Calibri" w:hAnsi="Calibri"/>
        </w:rPr>
        <w:t xml:space="preserve">Retention services can be </w:t>
      </w:r>
      <w:r w:rsidR="004251B9" w:rsidRPr="00E833B8">
        <w:rPr>
          <w:rFonts w:ascii="Calibri" w:hAnsi="Calibri"/>
        </w:rPr>
        <w:t>for apprentices, journey workers or both</w:t>
      </w:r>
      <w:r w:rsidR="00DA0715" w:rsidRPr="00E833B8">
        <w:rPr>
          <w:rFonts w:ascii="Calibri" w:hAnsi="Calibri"/>
        </w:rPr>
        <w:t xml:space="preserve">. </w:t>
      </w:r>
      <w:r w:rsidR="00D5439C" w:rsidRPr="00E833B8">
        <w:rPr>
          <w:rFonts w:ascii="Calibri" w:hAnsi="Calibri" w:cs="Arial"/>
        </w:rPr>
        <w:t>(Section 4, Scope of Work)</w:t>
      </w:r>
    </w:p>
    <w:p w14:paraId="6623841A" w14:textId="77777777" w:rsidR="00BD5E2B" w:rsidRPr="00E833B8" w:rsidRDefault="00BD5E2B" w:rsidP="00971BFC">
      <w:pPr>
        <w:pStyle w:val="ListParagraph"/>
        <w:rPr>
          <w:rFonts w:ascii="Calibri" w:hAnsi="Calibri" w:cs="Arial"/>
        </w:rPr>
      </w:pPr>
    </w:p>
    <w:p w14:paraId="7B8FD7FF" w14:textId="77777777" w:rsidR="00BD5E2B" w:rsidRDefault="00BD5E2B" w:rsidP="00E833B8">
      <w:r w:rsidRPr="00E833B8">
        <w:rPr>
          <w:rFonts w:ascii="Calibri" w:hAnsi="Calibri" w:cs="Arial"/>
        </w:rPr>
        <w:t xml:space="preserve">For additional information on regional apprenticeship performance, see the City of Seattle Construction Hiring Analysis report by Community Attributes, Inc. The report includes completion rates by trade, ZIP code, gender and ethnicity: </w:t>
      </w:r>
      <w:hyperlink r:id="rId11" w:history="1">
        <w:r w:rsidRPr="00E833B8">
          <w:rPr>
            <w:rStyle w:val="Hyperlink"/>
            <w:rFonts w:ascii="Calibri" w:hAnsi="Calibri" w:cs="Arial"/>
          </w:rPr>
          <w:t>http://www.seattle.gov/Documents/Departments/FAS/PurchasingAndContracting/Labor/CAI-Apprenticeship-2017.pdf</w:t>
        </w:r>
      </w:hyperlink>
      <w:r w:rsidRPr="00E833B8">
        <w:rPr>
          <w:rFonts w:ascii="Calibri" w:hAnsi="Calibri" w:cs="Arial"/>
        </w:rPr>
        <w:t xml:space="preserve">. </w:t>
      </w:r>
    </w:p>
    <w:p w14:paraId="585E49D2" w14:textId="77777777" w:rsidR="00DA0715" w:rsidRDefault="00DA0715"/>
    <w:p w14:paraId="3442E49E" w14:textId="77777777" w:rsidR="004251B9" w:rsidRPr="00E833B8" w:rsidRDefault="00E833B8" w:rsidP="00E833B8">
      <w:pPr>
        <w:rPr>
          <w:b/>
          <w:i/>
          <w:color w:val="2E74B5" w:themeColor="accent5" w:themeShade="BF"/>
        </w:rPr>
      </w:pPr>
      <w:r w:rsidRPr="00E833B8">
        <w:rPr>
          <w:b/>
          <w:i/>
          <w:color w:val="2E74B5" w:themeColor="accent5" w:themeShade="BF"/>
        </w:rPr>
        <w:t xml:space="preserve">Q7: </w:t>
      </w:r>
      <w:r w:rsidR="0089769F" w:rsidRPr="00E833B8">
        <w:rPr>
          <w:b/>
          <w:i/>
          <w:color w:val="2E74B5" w:themeColor="accent5" w:themeShade="BF"/>
        </w:rPr>
        <w:t>Are employment placements expected to be in construction?</w:t>
      </w:r>
    </w:p>
    <w:p w14:paraId="05494763" w14:textId="77777777" w:rsidR="0089769F" w:rsidRDefault="00E833B8" w:rsidP="00E833B8">
      <w:r>
        <w:t xml:space="preserve">A: </w:t>
      </w:r>
      <w:r w:rsidR="0089769F">
        <w:t>Yes. Placements can be in apprenticeship or employment, but are expected to be in the construction industry.</w:t>
      </w:r>
      <w:r w:rsidR="00CA5FC2">
        <w:t xml:space="preserve"> (Section 12, Definitions)</w:t>
      </w:r>
    </w:p>
    <w:p w14:paraId="6744471A" w14:textId="77777777" w:rsidR="0089769F" w:rsidRDefault="0089769F" w:rsidP="0089769F"/>
    <w:p w14:paraId="41689BBE" w14:textId="77777777" w:rsidR="0089769F" w:rsidRPr="00E833B8" w:rsidRDefault="00E833B8" w:rsidP="00E833B8">
      <w:pPr>
        <w:rPr>
          <w:b/>
          <w:i/>
          <w:color w:val="2E74B5" w:themeColor="accent5" w:themeShade="BF"/>
        </w:rPr>
      </w:pPr>
      <w:r w:rsidRPr="00E833B8">
        <w:rPr>
          <w:b/>
          <w:i/>
          <w:color w:val="2E74B5" w:themeColor="accent5" w:themeShade="BF"/>
        </w:rPr>
        <w:t xml:space="preserve">Q8: </w:t>
      </w:r>
      <w:r w:rsidR="0089769F" w:rsidRPr="00E833B8">
        <w:rPr>
          <w:b/>
          <w:i/>
          <w:color w:val="2E74B5" w:themeColor="accent5" w:themeShade="BF"/>
        </w:rPr>
        <w:t>In 2015, the City issued a joint RFP for construction outreach and training. Does this RFP include outreach work?</w:t>
      </w:r>
    </w:p>
    <w:p w14:paraId="652BA60E" w14:textId="77777777" w:rsidR="0089769F" w:rsidRDefault="00E833B8" w:rsidP="00E833B8">
      <w:r>
        <w:lastRenderedPageBreak/>
        <w:t xml:space="preserve">A: </w:t>
      </w:r>
      <w:r w:rsidR="0089769F">
        <w:t xml:space="preserve">The City is funding outreach, recruitment and driver’s relicensing services outside this RFP. If proposers want more information on driver’s re-licensing services, contact Martha Ramos at LELO at 206-860-1400 or </w:t>
      </w:r>
      <w:hyperlink r:id="rId12" w:history="1">
        <w:r w:rsidR="0089769F" w:rsidRPr="00032520">
          <w:rPr>
            <w:rStyle w:val="Hyperlink"/>
          </w:rPr>
          <w:t>martha@lelo.org</w:t>
        </w:r>
      </w:hyperlink>
      <w:r w:rsidR="0089769F">
        <w:t xml:space="preserve">. </w:t>
      </w:r>
    </w:p>
    <w:p w14:paraId="568E65B7" w14:textId="77777777" w:rsidR="00A12DAA" w:rsidRDefault="00A12DAA"/>
    <w:p w14:paraId="2FE0F646" w14:textId="77777777" w:rsidR="008056EB" w:rsidRPr="00E833B8" w:rsidRDefault="00E833B8" w:rsidP="00E833B8">
      <w:pPr>
        <w:rPr>
          <w:b/>
          <w:i/>
          <w:color w:val="2E74B5" w:themeColor="accent5" w:themeShade="BF"/>
        </w:rPr>
      </w:pPr>
      <w:r w:rsidRPr="00E833B8">
        <w:rPr>
          <w:b/>
          <w:i/>
          <w:color w:val="2E74B5" w:themeColor="accent5" w:themeShade="BF"/>
        </w:rPr>
        <w:t xml:space="preserve">9: </w:t>
      </w:r>
      <w:r w:rsidR="008056EB" w:rsidRPr="00E833B8">
        <w:rPr>
          <w:b/>
          <w:i/>
          <w:color w:val="2E74B5" w:themeColor="accent5" w:themeShade="BF"/>
        </w:rPr>
        <w:t>What’s an apprenticeship placement?</w:t>
      </w:r>
    </w:p>
    <w:p w14:paraId="64549845" w14:textId="77777777" w:rsidR="008056EB" w:rsidRDefault="00E833B8" w:rsidP="00E833B8">
      <w:r>
        <w:t xml:space="preserve">A: </w:t>
      </w:r>
      <w:r w:rsidR="008056EB">
        <w:t xml:space="preserve">An apprenticeship placement is when an individual is accepted into an apprenticeship program. </w:t>
      </w:r>
      <w:r w:rsidR="008056EB" w:rsidRPr="00CA150E">
        <w:t>The apprenticeship program</w:t>
      </w:r>
      <w:r w:rsidR="00CA150E" w:rsidRPr="00CA150E">
        <w:t xml:space="preserve"> or union hiring hall</w:t>
      </w:r>
      <w:r w:rsidR="008056EB" w:rsidRPr="00CA150E">
        <w:t xml:space="preserve"> dispatches apprentices to jobsites.</w:t>
      </w:r>
      <w:r w:rsidR="00CA5FC2">
        <w:t xml:space="preserve"> (Section 12, Definitions)</w:t>
      </w:r>
    </w:p>
    <w:p w14:paraId="1C627BCA" w14:textId="77777777" w:rsidR="00CF1E6C" w:rsidRDefault="00CF1E6C"/>
    <w:p w14:paraId="0933BD5E" w14:textId="77777777" w:rsidR="008056EB" w:rsidRPr="00E833B8" w:rsidRDefault="00E833B8" w:rsidP="00E833B8">
      <w:pPr>
        <w:rPr>
          <w:b/>
          <w:i/>
          <w:color w:val="2E74B5" w:themeColor="accent5" w:themeShade="BF"/>
        </w:rPr>
      </w:pPr>
      <w:r w:rsidRPr="00E833B8">
        <w:rPr>
          <w:b/>
          <w:i/>
          <w:color w:val="2E74B5" w:themeColor="accent5" w:themeShade="BF"/>
        </w:rPr>
        <w:t xml:space="preserve">Q10: </w:t>
      </w:r>
      <w:r w:rsidR="00EB142B" w:rsidRPr="00E833B8">
        <w:rPr>
          <w:b/>
          <w:i/>
          <w:color w:val="2E74B5" w:themeColor="accent5" w:themeShade="BF"/>
        </w:rPr>
        <w:t xml:space="preserve">What’s cultural competency? </w:t>
      </w:r>
    </w:p>
    <w:p w14:paraId="20F46F7B" w14:textId="77777777" w:rsidR="008056EB" w:rsidRDefault="00E833B8" w:rsidP="00E833B8">
      <w:r>
        <w:t xml:space="preserve">A: </w:t>
      </w:r>
      <w:r w:rsidR="008056EB">
        <w:t>Cultural competency is the proposers’ ability to create an environment that will be inclusive of target populations and successfully increase their access and success in the construction industry. This includes knowledge and understanding of Priority Hire and why it exists, experience working with target populations and the ability to create a program that reaches and supports the target communities.</w:t>
      </w:r>
    </w:p>
    <w:p w14:paraId="5C657B3A" w14:textId="77777777" w:rsidR="00F90711" w:rsidRDefault="00F90711"/>
    <w:p w14:paraId="3C354D17" w14:textId="3CFC9021" w:rsidR="008056EB" w:rsidRPr="00E833B8" w:rsidRDefault="00E833B8" w:rsidP="00E833B8">
      <w:pPr>
        <w:rPr>
          <w:b/>
          <w:i/>
          <w:color w:val="2E74B5" w:themeColor="accent5" w:themeShade="BF"/>
        </w:rPr>
      </w:pPr>
      <w:r w:rsidRPr="00E833B8">
        <w:rPr>
          <w:b/>
          <w:i/>
          <w:color w:val="2E74B5" w:themeColor="accent5" w:themeShade="BF"/>
        </w:rPr>
        <w:t xml:space="preserve">Q11: </w:t>
      </w:r>
      <w:r w:rsidR="008056EB" w:rsidRPr="00E833B8">
        <w:rPr>
          <w:b/>
          <w:i/>
          <w:color w:val="2E74B5" w:themeColor="accent5" w:themeShade="BF"/>
        </w:rPr>
        <w:t xml:space="preserve">Who will be on </w:t>
      </w:r>
      <w:r w:rsidR="00920424">
        <w:rPr>
          <w:b/>
          <w:i/>
          <w:color w:val="2E74B5" w:themeColor="accent5" w:themeShade="BF"/>
        </w:rPr>
        <w:t xml:space="preserve">the </w:t>
      </w:r>
      <w:r w:rsidR="008056EB" w:rsidRPr="00E833B8">
        <w:rPr>
          <w:b/>
          <w:i/>
          <w:color w:val="2E74B5" w:themeColor="accent5" w:themeShade="BF"/>
        </w:rPr>
        <w:t>evaluation team?</w:t>
      </w:r>
      <w:r w:rsidR="00F90711" w:rsidRPr="00E833B8">
        <w:rPr>
          <w:b/>
          <w:i/>
          <w:color w:val="2E74B5" w:themeColor="accent5" w:themeShade="BF"/>
        </w:rPr>
        <w:t xml:space="preserve"> </w:t>
      </w:r>
    </w:p>
    <w:p w14:paraId="63DB5035" w14:textId="77777777" w:rsidR="00F90711" w:rsidRDefault="00E833B8" w:rsidP="00E833B8">
      <w:r>
        <w:t xml:space="preserve">A: </w:t>
      </w:r>
      <w:r w:rsidR="008056EB">
        <w:t>The City of Seattle, Port of Seattle and King County</w:t>
      </w:r>
      <w:r w:rsidR="00F90711">
        <w:t xml:space="preserve"> will review proposals, but have separate contracts. </w:t>
      </w:r>
      <w:r w:rsidR="008056EB">
        <w:t>The a</w:t>
      </w:r>
      <w:r w:rsidR="00F90711">
        <w:t>gencies will coordinate to ensure funding doesn’t overlap</w:t>
      </w:r>
      <w:r w:rsidR="008056EB">
        <w:t>; the expectation is that an organization will not have</w:t>
      </w:r>
      <w:r w:rsidR="00F90711">
        <w:t xml:space="preserve"> three separ</w:t>
      </w:r>
      <w:r w:rsidR="005F1403">
        <w:t xml:space="preserve">ate contracts for the same </w:t>
      </w:r>
      <w:r w:rsidR="008056EB">
        <w:t xml:space="preserve">scope of </w:t>
      </w:r>
      <w:r w:rsidR="005F1403">
        <w:t>work</w:t>
      </w:r>
      <w:r w:rsidR="008056EB">
        <w:t>. The benefit of issuing a joint RFP is that organizations will only have to apply once to all agencies</w:t>
      </w:r>
      <w:r w:rsidR="005F1403">
        <w:t>.</w:t>
      </w:r>
      <w:r w:rsidR="00CA5FC2">
        <w:t xml:space="preserve"> </w:t>
      </w:r>
      <w:r w:rsidR="00CA5FC2" w:rsidRPr="00E833B8">
        <w:rPr>
          <w:rFonts w:ascii="Calibri" w:hAnsi="Calibri" w:cs="Arial"/>
        </w:rPr>
        <w:t>(Section 9, Selection Process)</w:t>
      </w:r>
    </w:p>
    <w:p w14:paraId="6FA0EDD3" w14:textId="77777777" w:rsidR="007230C4" w:rsidRDefault="007230C4"/>
    <w:p w14:paraId="0BD09910" w14:textId="77777777" w:rsidR="009611DF" w:rsidRPr="00E833B8" w:rsidRDefault="00E833B8" w:rsidP="00E833B8">
      <w:pPr>
        <w:rPr>
          <w:b/>
          <w:i/>
          <w:color w:val="2E74B5" w:themeColor="accent5" w:themeShade="BF"/>
        </w:rPr>
      </w:pPr>
      <w:r w:rsidRPr="00E833B8">
        <w:rPr>
          <w:b/>
          <w:i/>
          <w:color w:val="2E74B5" w:themeColor="accent5" w:themeShade="BF"/>
        </w:rPr>
        <w:t xml:space="preserve">Q12: </w:t>
      </w:r>
      <w:r w:rsidR="009611DF" w:rsidRPr="00E833B8">
        <w:rPr>
          <w:b/>
          <w:i/>
          <w:color w:val="2E74B5" w:themeColor="accent5" w:themeShade="BF"/>
        </w:rPr>
        <w:t>How do the City, Port and County intend to coordinate contracts awarded under this RFP?</w:t>
      </w:r>
    </w:p>
    <w:p w14:paraId="5C8CB362" w14:textId="226A28D2" w:rsidR="007230C4" w:rsidRDefault="00E833B8" w:rsidP="00E833B8">
      <w:r>
        <w:t xml:space="preserve">A: </w:t>
      </w:r>
      <w:r w:rsidR="009611DF">
        <w:t>The City, Port and County</w:t>
      </w:r>
      <w:r w:rsidR="00AA3448">
        <w:t xml:space="preserve"> meet regular</w:t>
      </w:r>
      <w:r w:rsidR="009611DF">
        <w:t>ly and intend to</w:t>
      </w:r>
      <w:r w:rsidR="00920424">
        <w:t xml:space="preserve"> align reporting requirements and other contractual obligations wherever feasible</w:t>
      </w:r>
      <w:r w:rsidR="00AA3448">
        <w:t xml:space="preserve">. </w:t>
      </w:r>
      <w:r w:rsidR="009611DF">
        <w:t>The agencies a</w:t>
      </w:r>
      <w:r w:rsidR="00AA3448">
        <w:t xml:space="preserve">lso </w:t>
      </w:r>
      <w:r w:rsidR="009611DF">
        <w:t>participate in the Puget Sound Regional Pre-Apprenticeship Collaborative (RPAC) and expect organizations awarded contracts to participate as well</w:t>
      </w:r>
      <w:r w:rsidR="00977E25">
        <w:t>.</w:t>
      </w:r>
    </w:p>
    <w:p w14:paraId="1CCA95C3" w14:textId="77777777" w:rsidR="00977E25" w:rsidRDefault="00977E25"/>
    <w:p w14:paraId="22E0278B" w14:textId="77777777" w:rsidR="00CA5FC2" w:rsidRPr="00E833B8" w:rsidRDefault="00E833B8" w:rsidP="00E833B8">
      <w:pPr>
        <w:rPr>
          <w:b/>
          <w:i/>
          <w:color w:val="2E74B5" w:themeColor="accent5" w:themeShade="BF"/>
        </w:rPr>
      </w:pPr>
      <w:bookmarkStart w:id="0" w:name="_Hlk499793792"/>
      <w:r w:rsidRPr="00E833B8">
        <w:rPr>
          <w:b/>
          <w:i/>
          <w:color w:val="2E74B5" w:themeColor="accent5" w:themeShade="BF"/>
        </w:rPr>
        <w:t xml:space="preserve">Q13: </w:t>
      </w:r>
      <w:r w:rsidR="00CA5FC2" w:rsidRPr="00E833B8">
        <w:rPr>
          <w:b/>
          <w:i/>
          <w:color w:val="2E74B5" w:themeColor="accent5" w:themeShade="BF"/>
        </w:rPr>
        <w:t>What does the City mean by “</w:t>
      </w:r>
      <w:r w:rsidR="00CA5FC2" w:rsidRPr="00E833B8">
        <w:rPr>
          <w:rFonts w:ascii="Calibri" w:hAnsi="Calibri"/>
          <w:b/>
          <w:i/>
          <w:color w:val="2E74B5" w:themeColor="accent5" w:themeShade="BF"/>
        </w:rPr>
        <w:t>The City anticipates a separate fund will be available in 2018 to address training needs on City projects, so services offered under this RFP should focus on interventions outside of public agency projects” on page 5 of the RFP?</w:t>
      </w:r>
    </w:p>
    <w:p w14:paraId="0C59C0D6" w14:textId="5A68737D" w:rsidR="00E90B4E" w:rsidRDefault="00E833B8" w:rsidP="00E833B8">
      <w:r>
        <w:rPr>
          <w:rFonts w:ascii="Calibri" w:hAnsi="Calibri"/>
        </w:rPr>
        <w:t xml:space="preserve">A: </w:t>
      </w:r>
      <w:r w:rsidR="00CA5FC2" w:rsidRPr="00E833B8">
        <w:rPr>
          <w:rFonts w:ascii="Calibri" w:hAnsi="Calibri"/>
        </w:rPr>
        <w:t xml:space="preserve">The </w:t>
      </w:r>
      <w:r w:rsidR="00EF1B81">
        <w:t xml:space="preserve">City anticipates separate funds in 2018 for </w:t>
      </w:r>
      <w:r w:rsidR="00BD5E2B">
        <w:t>Acceptable Work Site training on C</w:t>
      </w:r>
      <w:r w:rsidR="00EF1B81">
        <w:t>ity</w:t>
      </w:r>
      <w:r w:rsidR="00BD5E2B">
        <w:t xml:space="preserve"> public works</w:t>
      </w:r>
      <w:r w:rsidR="00EF1B81">
        <w:t xml:space="preserve"> project</w:t>
      </w:r>
      <w:r w:rsidR="00BD5E2B">
        <w:t>s</w:t>
      </w:r>
      <w:r w:rsidR="00EF1B81">
        <w:t xml:space="preserve">. </w:t>
      </w:r>
      <w:r w:rsidR="00BD5E2B">
        <w:t>A s</w:t>
      </w:r>
      <w:r w:rsidR="00456338">
        <w:t>eparate RFP will likely come out l</w:t>
      </w:r>
      <w:r w:rsidR="00BD5E2B">
        <w:t xml:space="preserve">ate 2017 or </w:t>
      </w:r>
      <w:r w:rsidR="00456338">
        <w:t>early 2018</w:t>
      </w:r>
      <w:r w:rsidR="00A05165">
        <w:t>.</w:t>
      </w:r>
      <w:r w:rsidR="008544B2">
        <w:t xml:space="preserve"> </w:t>
      </w:r>
      <w:r w:rsidR="00DD16E8">
        <w:t xml:space="preserve">This </w:t>
      </w:r>
      <w:r w:rsidR="00BD5E2B">
        <w:t>RFP</w:t>
      </w:r>
      <w:r w:rsidR="00DD16E8">
        <w:t xml:space="preserve"> </w:t>
      </w:r>
      <w:r w:rsidR="00BD5E2B">
        <w:t>focuses more generally</w:t>
      </w:r>
      <w:r w:rsidR="00DD16E8">
        <w:t xml:space="preserve"> </w:t>
      </w:r>
      <w:r w:rsidR="00BD5E2B">
        <w:t>on the</w:t>
      </w:r>
      <w:r w:rsidR="00DD16E8">
        <w:t xml:space="preserve"> reg</w:t>
      </w:r>
      <w:r w:rsidR="00BD5E2B">
        <w:t>ional worker pipeline, whereas the A</w:t>
      </w:r>
      <w:r w:rsidR="00DD16E8">
        <w:t xml:space="preserve">cceptable </w:t>
      </w:r>
      <w:r w:rsidR="00BD5E2B">
        <w:t>W</w:t>
      </w:r>
      <w:r w:rsidR="00DD16E8">
        <w:t>ork</w:t>
      </w:r>
      <w:r w:rsidR="00BD5E2B">
        <w:t xml:space="preserve"> S</w:t>
      </w:r>
      <w:r w:rsidR="00DD16E8">
        <w:t xml:space="preserve">ite </w:t>
      </w:r>
      <w:r w:rsidR="00BD5E2B">
        <w:t>is intended for</w:t>
      </w:r>
      <w:r w:rsidR="00DD16E8">
        <w:t xml:space="preserve"> </w:t>
      </w:r>
      <w:r w:rsidR="00A05165">
        <w:t xml:space="preserve">retention of </w:t>
      </w:r>
      <w:r w:rsidR="00DD16E8">
        <w:t>workers</w:t>
      </w:r>
      <w:r w:rsidR="00BD5E2B">
        <w:t xml:space="preserve"> on C</w:t>
      </w:r>
      <w:r w:rsidR="00DD16E8">
        <w:t xml:space="preserve">ity </w:t>
      </w:r>
      <w:r w:rsidR="00BD5E2B">
        <w:t xml:space="preserve">public works </w:t>
      </w:r>
      <w:r w:rsidR="00DD16E8">
        <w:t>projects.</w:t>
      </w:r>
      <w:r w:rsidR="00BD5E2B">
        <w:t xml:space="preserve"> The A</w:t>
      </w:r>
      <w:r w:rsidR="004E7B4C">
        <w:t xml:space="preserve">cceptable </w:t>
      </w:r>
      <w:r w:rsidR="00BD5E2B">
        <w:t>Work S</w:t>
      </w:r>
      <w:r w:rsidR="004E7B4C">
        <w:t>ite</w:t>
      </w:r>
      <w:r w:rsidR="00BD5E2B">
        <w:t xml:space="preserve"> RFP will likely include education around the City’s Acceptable W</w:t>
      </w:r>
      <w:r w:rsidR="004E7B4C">
        <w:t>ork</w:t>
      </w:r>
      <w:r w:rsidR="00BD5E2B">
        <w:t xml:space="preserve"> S</w:t>
      </w:r>
      <w:r w:rsidR="004E7B4C">
        <w:t>ite policy</w:t>
      </w:r>
      <w:r w:rsidR="00BD5E2B">
        <w:t>,</w:t>
      </w:r>
      <w:r w:rsidR="004E7B4C">
        <w:t xml:space="preserve"> and will</w:t>
      </w:r>
      <w:r w:rsidR="00A05165">
        <w:t xml:space="preserve"> be</w:t>
      </w:r>
      <w:r w:rsidR="004E7B4C">
        <w:t xml:space="preserve"> implement</w:t>
      </w:r>
      <w:r w:rsidR="00BD5E2B">
        <w:t>ed</w:t>
      </w:r>
      <w:r w:rsidR="004E7B4C">
        <w:t xml:space="preserve"> </w:t>
      </w:r>
      <w:r w:rsidR="00BD5E2B">
        <w:t>on selected City projects</w:t>
      </w:r>
      <w:r w:rsidR="004E7B4C">
        <w:t>.</w:t>
      </w:r>
      <w:r w:rsidR="00A7014E">
        <w:t xml:space="preserve"> </w:t>
      </w:r>
      <w:r w:rsidR="00A05165">
        <w:t>The City</w:t>
      </w:r>
      <w:r w:rsidR="00E90B4E">
        <w:t xml:space="preserve"> intend</w:t>
      </w:r>
      <w:r w:rsidR="00A05165">
        <w:t>s</w:t>
      </w:r>
      <w:r w:rsidR="00E90B4E">
        <w:t xml:space="preserve"> to provide training on the policy through the Acceptable Work Site RFP, but organizations responding to this RFP may choose to incorporate aspects of Acceptable Worksite training or education in their proposal.</w:t>
      </w:r>
    </w:p>
    <w:bookmarkEnd w:id="0"/>
    <w:p w14:paraId="6A479434" w14:textId="77777777" w:rsidR="00E55047" w:rsidRDefault="00E55047"/>
    <w:p w14:paraId="570D6D26" w14:textId="77777777" w:rsidR="00DF0A5E" w:rsidRPr="00DF0A5E" w:rsidRDefault="00DF0A5E">
      <w:pPr>
        <w:rPr>
          <w:b/>
          <w:i/>
          <w:sz w:val="24"/>
          <w:szCs w:val="24"/>
        </w:rPr>
      </w:pPr>
      <w:r w:rsidRPr="00DF0A5E">
        <w:rPr>
          <w:b/>
          <w:i/>
          <w:sz w:val="24"/>
          <w:szCs w:val="24"/>
        </w:rPr>
        <w:t>November 28, 2017</w:t>
      </w:r>
    </w:p>
    <w:p w14:paraId="392137FA" w14:textId="77777777" w:rsidR="0061575F" w:rsidRPr="00C51872" w:rsidRDefault="00C51872" w:rsidP="0061575F">
      <w:pPr>
        <w:keepNext/>
        <w:keepLines/>
        <w:spacing w:before="40"/>
        <w:outlineLvl w:val="1"/>
        <w:rPr>
          <w:rFonts w:eastAsiaTheme="majorEastAsia" w:cstheme="majorBidi"/>
          <w:b/>
          <w:i/>
          <w:color w:val="2E74B5" w:themeColor="accent5" w:themeShade="BF"/>
        </w:rPr>
      </w:pPr>
      <w:r w:rsidRPr="00C51872">
        <w:rPr>
          <w:rFonts w:eastAsiaTheme="majorEastAsia" w:cstheme="majorBidi"/>
          <w:b/>
          <w:i/>
          <w:color w:val="2E74B5" w:themeColor="accent5" w:themeShade="BF"/>
        </w:rPr>
        <w:t xml:space="preserve">Q14: </w:t>
      </w:r>
      <w:r w:rsidR="0061575F" w:rsidRPr="00C51872">
        <w:rPr>
          <w:rFonts w:eastAsiaTheme="majorEastAsia" w:cstheme="majorBidi"/>
          <w:b/>
          <w:i/>
          <w:color w:val="2E74B5" w:themeColor="accent5" w:themeShade="BF"/>
        </w:rPr>
        <w:t>Can proposals cover less than two years of work?</w:t>
      </w:r>
    </w:p>
    <w:p w14:paraId="4A6D3E3F" w14:textId="38AF1710" w:rsidR="0061575F" w:rsidRPr="00C51872" w:rsidRDefault="00DE7AB2" w:rsidP="0061575F">
      <w:r>
        <w:t xml:space="preserve">A: </w:t>
      </w:r>
      <w:r w:rsidR="0061575F" w:rsidRPr="00C51872">
        <w:t xml:space="preserve">Agencies are looking at 2-year contracts, but can negotiate a shorter contract </w:t>
      </w:r>
      <w:r w:rsidR="00C51872">
        <w:t xml:space="preserve">depending on the proposed scope of work. </w:t>
      </w:r>
    </w:p>
    <w:p w14:paraId="5BF9DB37" w14:textId="77777777" w:rsidR="0061575F" w:rsidRPr="00C51872" w:rsidRDefault="0061575F" w:rsidP="0061575F"/>
    <w:p w14:paraId="1B5BAF24" w14:textId="77777777" w:rsidR="0061575F" w:rsidRPr="00C51872" w:rsidRDefault="00C51872" w:rsidP="0061575F">
      <w:pPr>
        <w:keepNext/>
        <w:keepLines/>
        <w:spacing w:before="40"/>
        <w:outlineLvl w:val="1"/>
        <w:rPr>
          <w:rFonts w:eastAsiaTheme="majorEastAsia" w:cstheme="majorBidi"/>
          <w:b/>
          <w:i/>
          <w:color w:val="2E74B5" w:themeColor="accent5" w:themeShade="BF"/>
        </w:rPr>
      </w:pPr>
      <w:r w:rsidRPr="00C51872">
        <w:rPr>
          <w:rFonts w:eastAsiaTheme="majorEastAsia" w:cstheme="majorBidi"/>
          <w:b/>
          <w:i/>
          <w:color w:val="2E74B5" w:themeColor="accent5" w:themeShade="BF"/>
        </w:rPr>
        <w:t xml:space="preserve">Q15: </w:t>
      </w:r>
      <w:r w:rsidR="0061575F" w:rsidRPr="00C51872">
        <w:rPr>
          <w:rFonts w:eastAsiaTheme="majorEastAsia" w:cstheme="majorBidi"/>
          <w:b/>
          <w:i/>
          <w:color w:val="2E74B5" w:themeColor="accent5" w:themeShade="BF"/>
        </w:rPr>
        <w:t>Is 12 months of retention work required after the contract ends?</w:t>
      </w:r>
    </w:p>
    <w:p w14:paraId="275AA99C" w14:textId="61192FA5" w:rsidR="0061575F" w:rsidRPr="00C51872" w:rsidRDefault="00DE7AB2" w:rsidP="0061575F">
      <w:r>
        <w:t xml:space="preserve">A: </w:t>
      </w:r>
      <w:r w:rsidR="0061575F" w:rsidRPr="00C51872">
        <w:t>Retention assistance for 12 months or more post-placement of an individual is preferred</w:t>
      </w:r>
      <w:r w:rsidR="00C51872">
        <w:t>,</w:t>
      </w:r>
      <w:r w:rsidR="0061575F" w:rsidRPr="00C51872">
        <w:t xml:space="preserve"> up to the contract end date.</w:t>
      </w:r>
      <w:r w:rsidR="00A66B9E">
        <w:t xml:space="preserve"> Actual retention services will be negotiated in the contract.</w:t>
      </w:r>
    </w:p>
    <w:p w14:paraId="5C297B9E" w14:textId="77777777" w:rsidR="0061575F" w:rsidRPr="00C51872" w:rsidRDefault="0061575F" w:rsidP="0061575F"/>
    <w:p w14:paraId="3E785436" w14:textId="77777777" w:rsidR="0061575F" w:rsidRPr="00C51872" w:rsidRDefault="00C51872" w:rsidP="0061575F">
      <w:pPr>
        <w:keepNext/>
        <w:keepLines/>
        <w:spacing w:before="40"/>
        <w:outlineLvl w:val="1"/>
        <w:rPr>
          <w:rFonts w:eastAsiaTheme="majorEastAsia" w:cstheme="majorBidi"/>
          <w:b/>
          <w:i/>
          <w:color w:val="2E74B5" w:themeColor="accent5" w:themeShade="BF"/>
        </w:rPr>
      </w:pPr>
      <w:r>
        <w:rPr>
          <w:rFonts w:eastAsiaTheme="majorEastAsia" w:cstheme="majorBidi"/>
          <w:b/>
          <w:i/>
          <w:color w:val="2E74B5" w:themeColor="accent5" w:themeShade="BF"/>
        </w:rPr>
        <w:t xml:space="preserve">Q16: </w:t>
      </w:r>
      <w:r w:rsidR="0061575F" w:rsidRPr="00C51872">
        <w:rPr>
          <w:rFonts w:eastAsiaTheme="majorEastAsia" w:cstheme="majorBidi"/>
          <w:b/>
          <w:i/>
          <w:color w:val="2E74B5" w:themeColor="accent5" w:themeShade="BF"/>
        </w:rPr>
        <w:t>Which organizations will provide outreach services?</w:t>
      </w:r>
    </w:p>
    <w:p w14:paraId="2943601A" w14:textId="2BACD9C8" w:rsidR="0061575F" w:rsidRPr="00C51872" w:rsidRDefault="00DE7AB2" w:rsidP="0061575F">
      <w:bookmarkStart w:id="1" w:name="_Hlk500139589"/>
      <w:r>
        <w:t xml:space="preserve">A: </w:t>
      </w:r>
      <w:r w:rsidR="0061575F" w:rsidRPr="00C51872">
        <w:t xml:space="preserve">The City intends to continue outreach and recruitment contracts with four of the six community-based organizations that were awarded from the 2015 RFP for priority hire training and outreach. These organizations are Urban League of Metropolitan Seattle, Casa Latina, Got Green and Rainier Beach Action Coalition. The </w:t>
      </w:r>
      <w:bookmarkEnd w:id="1"/>
      <w:r w:rsidR="0061575F" w:rsidRPr="00C51872">
        <w:t>City expects that all funded outreach,</w:t>
      </w:r>
      <w:r w:rsidR="00C51872">
        <w:t xml:space="preserve"> training and retention organizations</w:t>
      </w:r>
      <w:r w:rsidR="0061575F" w:rsidRPr="00C51872">
        <w:t xml:space="preserve"> attend quarterly meetings for collaboration.</w:t>
      </w:r>
    </w:p>
    <w:p w14:paraId="18CAA009" w14:textId="77777777" w:rsidR="0061575F" w:rsidRPr="00C51872" w:rsidRDefault="0061575F" w:rsidP="0061575F"/>
    <w:p w14:paraId="306A43E6" w14:textId="77777777" w:rsidR="0061575F" w:rsidRPr="00C51872" w:rsidRDefault="00C51872" w:rsidP="0061575F">
      <w:pPr>
        <w:keepNext/>
        <w:keepLines/>
        <w:spacing w:before="40"/>
        <w:outlineLvl w:val="1"/>
        <w:rPr>
          <w:rFonts w:eastAsiaTheme="majorEastAsia" w:cstheme="majorBidi"/>
          <w:b/>
          <w:i/>
          <w:color w:val="2E74B5" w:themeColor="accent5" w:themeShade="BF"/>
        </w:rPr>
      </w:pPr>
      <w:r>
        <w:rPr>
          <w:rFonts w:eastAsiaTheme="majorEastAsia" w:cstheme="majorBidi"/>
          <w:b/>
          <w:i/>
          <w:color w:val="2E74B5" w:themeColor="accent5" w:themeShade="BF"/>
        </w:rPr>
        <w:t xml:space="preserve">Q17: </w:t>
      </w:r>
      <w:r w:rsidR="0061575F" w:rsidRPr="00C51872">
        <w:rPr>
          <w:rFonts w:eastAsiaTheme="majorEastAsia" w:cstheme="majorBidi"/>
          <w:b/>
          <w:i/>
          <w:color w:val="2E74B5" w:themeColor="accent5" w:themeShade="BF"/>
        </w:rPr>
        <w:t>Do King County and the Port of Seattle have priority hire programs similar to the City of Seattle?</w:t>
      </w:r>
    </w:p>
    <w:p w14:paraId="77BBA518" w14:textId="2230913A" w:rsidR="0061575F" w:rsidRPr="00C51872" w:rsidRDefault="00DE7AB2" w:rsidP="0061575F">
      <w:bookmarkStart w:id="2" w:name="_Hlk500239942"/>
      <w:r>
        <w:t xml:space="preserve">A: </w:t>
      </w:r>
      <w:bookmarkEnd w:id="2"/>
      <w:r w:rsidR="0061575F" w:rsidRPr="00C51872">
        <w:t xml:space="preserve">King County is piloting priority hire on several projects, and the Port of Seattle </w:t>
      </w:r>
      <w:r w:rsidR="00293CFC" w:rsidRPr="00C51872">
        <w:t>Commission passed</w:t>
      </w:r>
      <w:r w:rsidR="00DD6D6D">
        <w:t xml:space="preserve"> a resolution to develop a </w:t>
      </w:r>
      <w:r w:rsidR="0061575F" w:rsidRPr="00C51872">
        <w:t>priority hire program on November 28, 2017. The intent is for cross-agency collaboration to work on regional strategies for a regional workforce. Since agencies will have separate contracts, proposers are encouraged to review each agencies’ contract</w:t>
      </w:r>
      <w:r w:rsidR="00A66B9E">
        <w:t xml:space="preserve"> boilerplate</w:t>
      </w:r>
      <w:r w:rsidR="0061575F" w:rsidRPr="00C51872">
        <w:t xml:space="preserve"> language </w:t>
      </w:r>
      <w:r w:rsidR="00A66B9E">
        <w:t>(see Section 11 of the RFP)</w:t>
      </w:r>
      <w:r w:rsidR="0061575F" w:rsidRPr="00C51872">
        <w:t>.</w:t>
      </w:r>
    </w:p>
    <w:p w14:paraId="74B9820D" w14:textId="77777777" w:rsidR="0061575F" w:rsidRPr="00C51872" w:rsidRDefault="0061575F" w:rsidP="0061575F"/>
    <w:p w14:paraId="0BBF2224" w14:textId="77777777" w:rsidR="0061575F" w:rsidRPr="00C51872" w:rsidRDefault="00C51872" w:rsidP="0061575F">
      <w:pPr>
        <w:keepNext/>
        <w:keepLines/>
        <w:spacing w:before="40"/>
        <w:outlineLvl w:val="1"/>
        <w:rPr>
          <w:rFonts w:eastAsiaTheme="majorEastAsia" w:cstheme="majorBidi"/>
          <w:b/>
          <w:i/>
          <w:color w:val="2E74B5" w:themeColor="accent5" w:themeShade="BF"/>
        </w:rPr>
      </w:pPr>
      <w:r>
        <w:rPr>
          <w:rFonts w:eastAsiaTheme="majorEastAsia" w:cstheme="majorBidi"/>
          <w:b/>
          <w:i/>
          <w:color w:val="2E74B5" w:themeColor="accent5" w:themeShade="BF"/>
        </w:rPr>
        <w:t xml:space="preserve">Q18: </w:t>
      </w:r>
      <w:r w:rsidR="0061575F" w:rsidRPr="00C51872">
        <w:rPr>
          <w:rFonts w:eastAsiaTheme="majorEastAsia" w:cstheme="majorBidi"/>
          <w:b/>
          <w:i/>
          <w:color w:val="2E74B5" w:themeColor="accent5" w:themeShade="BF"/>
        </w:rPr>
        <w:t>Are collaborative proposals required to have a “lead” organization?</w:t>
      </w:r>
    </w:p>
    <w:p w14:paraId="3E8D6478" w14:textId="3D947298" w:rsidR="0061575F" w:rsidRPr="00C51872" w:rsidRDefault="00DE7AB2" w:rsidP="0061575F">
      <w:r>
        <w:t xml:space="preserve">A: </w:t>
      </w:r>
      <w:r w:rsidR="0061575F" w:rsidRPr="00C51872">
        <w:t>Yes, proposals should have a prime consultant that will contract with the agency. The prime consultant would then work with subconsultants.</w:t>
      </w:r>
    </w:p>
    <w:p w14:paraId="51541B92" w14:textId="77777777" w:rsidR="0061575F" w:rsidRPr="00C51872" w:rsidRDefault="0061575F" w:rsidP="0061575F"/>
    <w:p w14:paraId="22B290EC" w14:textId="77777777" w:rsidR="0061575F" w:rsidRPr="00C51872" w:rsidRDefault="00C51872" w:rsidP="0061575F">
      <w:pPr>
        <w:keepNext/>
        <w:keepLines/>
        <w:spacing w:before="40"/>
        <w:outlineLvl w:val="1"/>
        <w:rPr>
          <w:rFonts w:eastAsiaTheme="majorEastAsia" w:cstheme="majorBidi"/>
          <w:b/>
          <w:i/>
          <w:color w:val="2F5496" w:themeColor="accent1" w:themeShade="BF"/>
        </w:rPr>
      </w:pPr>
      <w:r>
        <w:rPr>
          <w:rFonts w:eastAsiaTheme="majorEastAsia" w:cstheme="majorBidi"/>
          <w:b/>
          <w:i/>
          <w:color w:val="2E74B5" w:themeColor="accent5" w:themeShade="BF"/>
        </w:rPr>
        <w:t xml:space="preserve">Q19: </w:t>
      </w:r>
      <w:r w:rsidR="0061575F" w:rsidRPr="00C51872">
        <w:rPr>
          <w:rFonts w:eastAsiaTheme="majorEastAsia" w:cstheme="majorBidi"/>
          <w:b/>
          <w:i/>
          <w:color w:val="2E74B5" w:themeColor="accent5" w:themeShade="BF"/>
        </w:rPr>
        <w:t>How will the City, County and Port award proposals?</w:t>
      </w:r>
    </w:p>
    <w:p w14:paraId="376E8241" w14:textId="02FD097D" w:rsidR="0061575F" w:rsidRPr="00C51872" w:rsidRDefault="00DE7AB2" w:rsidP="0061575F">
      <w:r>
        <w:t xml:space="preserve">A: </w:t>
      </w:r>
      <w:r w:rsidR="0061575F" w:rsidRPr="00C51872">
        <w:t>Proposers will know which agency they will contract with upon receiving an Intent to Award. The City, County and Port may review proposals separately or jointly, but will coordinate on funding.</w:t>
      </w:r>
    </w:p>
    <w:p w14:paraId="2587CD42" w14:textId="77777777" w:rsidR="0061575F" w:rsidRPr="00C51872" w:rsidRDefault="0061575F" w:rsidP="0061575F"/>
    <w:p w14:paraId="65DA280D" w14:textId="77777777" w:rsidR="0061575F" w:rsidRPr="00C51872" w:rsidRDefault="00C51872" w:rsidP="0061575F">
      <w:pPr>
        <w:keepNext/>
        <w:keepLines/>
        <w:spacing w:before="40"/>
        <w:outlineLvl w:val="1"/>
        <w:rPr>
          <w:rFonts w:eastAsiaTheme="majorEastAsia" w:cstheme="majorBidi"/>
          <w:b/>
          <w:i/>
          <w:color w:val="2E74B5" w:themeColor="accent5" w:themeShade="BF"/>
        </w:rPr>
      </w:pPr>
      <w:r>
        <w:rPr>
          <w:rFonts w:eastAsiaTheme="majorEastAsia" w:cstheme="majorBidi"/>
          <w:b/>
          <w:i/>
          <w:color w:val="2E74B5" w:themeColor="accent5" w:themeShade="BF"/>
        </w:rPr>
        <w:t xml:space="preserve">Q20: </w:t>
      </w:r>
      <w:r w:rsidR="0061575F" w:rsidRPr="00C51872">
        <w:rPr>
          <w:rFonts w:eastAsiaTheme="majorEastAsia" w:cstheme="majorBidi"/>
          <w:b/>
          <w:i/>
          <w:color w:val="2E74B5" w:themeColor="accent5" w:themeShade="BF"/>
        </w:rPr>
        <w:t>Should organizations submit a proposal to each agency?</w:t>
      </w:r>
    </w:p>
    <w:p w14:paraId="7D3F7B12" w14:textId="4061B2D6" w:rsidR="0061575F" w:rsidRPr="00C51872" w:rsidRDefault="00DE7AB2" w:rsidP="0061575F">
      <w:r>
        <w:t xml:space="preserve">A: </w:t>
      </w:r>
      <w:r w:rsidR="0061575F" w:rsidRPr="00C51872">
        <w:t>No. Organizations can submit one proposal for all three agencies, using the total anticipated $1.2M amount.</w:t>
      </w:r>
    </w:p>
    <w:p w14:paraId="07616784" w14:textId="77777777" w:rsidR="0061575F" w:rsidRPr="00C51872" w:rsidRDefault="0061575F" w:rsidP="0061575F"/>
    <w:p w14:paraId="3ECCDDBD" w14:textId="77777777" w:rsidR="0061575F" w:rsidRPr="00C51872" w:rsidRDefault="00C51872" w:rsidP="0061575F">
      <w:pPr>
        <w:keepNext/>
        <w:keepLines/>
        <w:spacing w:before="40"/>
        <w:outlineLvl w:val="1"/>
        <w:rPr>
          <w:rFonts w:eastAsiaTheme="majorEastAsia" w:cstheme="majorBidi"/>
          <w:b/>
          <w:i/>
          <w:color w:val="2E74B5" w:themeColor="accent5" w:themeShade="BF"/>
        </w:rPr>
      </w:pPr>
      <w:r>
        <w:rPr>
          <w:rFonts w:eastAsiaTheme="majorEastAsia" w:cstheme="majorBidi"/>
          <w:b/>
          <w:i/>
          <w:color w:val="2E74B5" w:themeColor="accent5" w:themeShade="BF"/>
        </w:rPr>
        <w:t xml:space="preserve">Q21: Is there a </w:t>
      </w:r>
      <w:r w:rsidR="0061575F" w:rsidRPr="00C51872">
        <w:rPr>
          <w:rFonts w:eastAsiaTheme="majorEastAsia" w:cstheme="majorBidi"/>
          <w:b/>
          <w:i/>
          <w:color w:val="2E74B5" w:themeColor="accent5" w:themeShade="BF"/>
        </w:rPr>
        <w:t>number of awards anticipated?</w:t>
      </w:r>
    </w:p>
    <w:p w14:paraId="54636AA2" w14:textId="7F169EF2" w:rsidR="0061575F" w:rsidRPr="00C51872" w:rsidRDefault="00DE7AB2" w:rsidP="0061575F">
      <w:r>
        <w:t xml:space="preserve">A: </w:t>
      </w:r>
      <w:r w:rsidR="0061575F" w:rsidRPr="00C51872">
        <w:t>There is no minimum or maximum anticipated awards. Each agency may also be able to increase the funding available during the anticipated contract period.</w:t>
      </w:r>
    </w:p>
    <w:p w14:paraId="04FEB3EE" w14:textId="77777777" w:rsidR="0061575F" w:rsidRPr="00C51872" w:rsidRDefault="0061575F" w:rsidP="0061575F"/>
    <w:p w14:paraId="3A49543A" w14:textId="77777777" w:rsidR="0061575F" w:rsidRPr="00C51872" w:rsidRDefault="00C51872" w:rsidP="0061575F">
      <w:pPr>
        <w:keepNext/>
        <w:keepLines/>
        <w:spacing w:before="40"/>
        <w:outlineLvl w:val="1"/>
        <w:rPr>
          <w:rFonts w:eastAsiaTheme="majorEastAsia" w:cstheme="majorBidi"/>
          <w:b/>
          <w:i/>
          <w:color w:val="2E74B5" w:themeColor="accent5" w:themeShade="BF"/>
        </w:rPr>
      </w:pPr>
      <w:r>
        <w:rPr>
          <w:rFonts w:eastAsiaTheme="majorEastAsia" w:cstheme="majorBidi"/>
          <w:b/>
          <w:i/>
          <w:color w:val="2E74B5" w:themeColor="accent5" w:themeShade="BF"/>
        </w:rPr>
        <w:t xml:space="preserve">Q22: </w:t>
      </w:r>
      <w:r w:rsidR="0061575F" w:rsidRPr="00C51872">
        <w:rPr>
          <w:rFonts w:eastAsiaTheme="majorEastAsia" w:cstheme="majorBidi"/>
          <w:b/>
          <w:i/>
          <w:color w:val="2E74B5" w:themeColor="accent5" w:themeShade="BF"/>
        </w:rPr>
        <w:t>Will proposals be negotiated into a contract?</w:t>
      </w:r>
    </w:p>
    <w:p w14:paraId="2A3119B3" w14:textId="21DCADA4" w:rsidR="0061575F" w:rsidRPr="00C51872" w:rsidRDefault="00DE7AB2" w:rsidP="0061575F">
      <w:r>
        <w:t xml:space="preserve">A: </w:t>
      </w:r>
      <w:r w:rsidR="0061575F" w:rsidRPr="00C51872">
        <w:t>Yes. After an agency sends an Intent to Award, they will negotiate contracts with the proposer.</w:t>
      </w:r>
    </w:p>
    <w:p w14:paraId="38B3BFB2" w14:textId="77777777" w:rsidR="0061575F" w:rsidRPr="00C51872" w:rsidRDefault="0061575F" w:rsidP="0061575F"/>
    <w:p w14:paraId="62CDD712" w14:textId="77777777" w:rsidR="0061575F" w:rsidRPr="002203FA" w:rsidRDefault="00C51872" w:rsidP="0061575F">
      <w:pPr>
        <w:keepNext/>
        <w:keepLines/>
        <w:spacing w:before="40"/>
        <w:outlineLvl w:val="1"/>
        <w:rPr>
          <w:rFonts w:eastAsiaTheme="majorEastAsia" w:cstheme="majorBidi"/>
          <w:b/>
          <w:i/>
          <w:color w:val="2E74B5" w:themeColor="accent5" w:themeShade="BF"/>
        </w:rPr>
      </w:pPr>
      <w:r w:rsidRPr="002203FA">
        <w:rPr>
          <w:rFonts w:eastAsiaTheme="majorEastAsia" w:cstheme="majorBidi"/>
          <w:b/>
          <w:i/>
          <w:color w:val="2E74B5" w:themeColor="accent5" w:themeShade="BF"/>
        </w:rPr>
        <w:t xml:space="preserve">Q23: </w:t>
      </w:r>
      <w:r w:rsidR="0061575F" w:rsidRPr="002203FA">
        <w:rPr>
          <w:rFonts w:eastAsiaTheme="majorEastAsia" w:cstheme="majorBidi"/>
          <w:b/>
          <w:i/>
          <w:color w:val="2E74B5" w:themeColor="accent5" w:themeShade="BF"/>
        </w:rPr>
        <w:t>Will each agency evaluate the proposals?</w:t>
      </w:r>
    </w:p>
    <w:p w14:paraId="0DC0AB5A" w14:textId="29FE2CA5" w:rsidR="0061575F" w:rsidRPr="00C51872" w:rsidRDefault="00DE7AB2" w:rsidP="0061575F">
      <w:r>
        <w:t xml:space="preserve">A: </w:t>
      </w:r>
      <w:r w:rsidR="0061575F" w:rsidRPr="00C51872">
        <w:t>Yes. All agencies will review responsive proposals.</w:t>
      </w:r>
    </w:p>
    <w:p w14:paraId="337A5F0F" w14:textId="77777777" w:rsidR="0061575F" w:rsidRPr="00C51872" w:rsidRDefault="0061575F" w:rsidP="0061575F"/>
    <w:p w14:paraId="789D813C" w14:textId="77777777" w:rsidR="0061575F" w:rsidRPr="002203FA" w:rsidRDefault="002203FA" w:rsidP="0061575F">
      <w:pPr>
        <w:keepNext/>
        <w:keepLines/>
        <w:spacing w:before="40"/>
        <w:outlineLvl w:val="1"/>
        <w:rPr>
          <w:rFonts w:eastAsiaTheme="majorEastAsia" w:cstheme="majorBidi"/>
          <w:b/>
          <w:i/>
          <w:color w:val="2E74B5" w:themeColor="accent5" w:themeShade="BF"/>
        </w:rPr>
      </w:pPr>
      <w:r w:rsidRPr="002203FA">
        <w:rPr>
          <w:rFonts w:eastAsiaTheme="majorEastAsia" w:cstheme="majorBidi"/>
          <w:b/>
          <w:i/>
          <w:color w:val="2E74B5" w:themeColor="accent5" w:themeShade="BF"/>
        </w:rPr>
        <w:t xml:space="preserve">Q24: </w:t>
      </w:r>
      <w:r w:rsidR="0061575F" w:rsidRPr="002203FA">
        <w:rPr>
          <w:rFonts w:eastAsiaTheme="majorEastAsia" w:cstheme="majorBidi"/>
          <w:b/>
          <w:i/>
          <w:color w:val="2E74B5" w:themeColor="accent5" w:themeShade="BF"/>
        </w:rPr>
        <w:t>Will just the prime consultant need to attend interviews, or will subconsultants be able to attend as well?</w:t>
      </w:r>
    </w:p>
    <w:p w14:paraId="4D73E33E" w14:textId="17037509" w:rsidR="0061575F" w:rsidRPr="00C51872" w:rsidRDefault="00DE7AB2" w:rsidP="0061575F">
      <w:r>
        <w:t xml:space="preserve">A: </w:t>
      </w:r>
      <w:r w:rsidR="0061575F" w:rsidRPr="00C51872">
        <w:t>Employees working on the scope of work should attend the interview, regardless if they work for a prime or subconsultant.</w:t>
      </w:r>
    </w:p>
    <w:p w14:paraId="71E19285" w14:textId="77777777" w:rsidR="0061575F" w:rsidRPr="00C51872" w:rsidRDefault="0061575F" w:rsidP="0061575F"/>
    <w:p w14:paraId="75BEDFB7" w14:textId="77777777" w:rsidR="0061575F" w:rsidRPr="002203FA" w:rsidRDefault="002203FA" w:rsidP="0061575F">
      <w:pPr>
        <w:keepNext/>
        <w:keepLines/>
        <w:spacing w:before="40"/>
        <w:outlineLvl w:val="1"/>
        <w:rPr>
          <w:rFonts w:eastAsiaTheme="majorEastAsia" w:cstheme="majorBidi"/>
          <w:b/>
          <w:i/>
          <w:color w:val="2E74B5" w:themeColor="accent5" w:themeShade="BF"/>
        </w:rPr>
      </w:pPr>
      <w:r w:rsidRPr="002203FA">
        <w:rPr>
          <w:rFonts w:eastAsiaTheme="majorEastAsia" w:cstheme="majorBidi"/>
          <w:b/>
          <w:i/>
          <w:color w:val="2E74B5" w:themeColor="accent5" w:themeShade="BF"/>
        </w:rPr>
        <w:t xml:space="preserve">Q25: </w:t>
      </w:r>
      <w:r w:rsidR="0061575F" w:rsidRPr="002203FA">
        <w:rPr>
          <w:rFonts w:eastAsiaTheme="majorEastAsia" w:cstheme="majorBidi"/>
          <w:b/>
          <w:i/>
          <w:color w:val="2E74B5" w:themeColor="accent5" w:themeShade="BF"/>
        </w:rPr>
        <w:t>How will interview points be included with the proposal evaluation?</w:t>
      </w:r>
    </w:p>
    <w:p w14:paraId="369962CC" w14:textId="70246F6E" w:rsidR="0061575F" w:rsidRPr="00C51872" w:rsidRDefault="00DE7AB2" w:rsidP="0061575F">
      <w:r>
        <w:t xml:space="preserve">A: </w:t>
      </w:r>
      <w:r w:rsidR="0061575F" w:rsidRPr="00C51872">
        <w:t>Each interview question will be a certain amount of points, adding up to 20</w:t>
      </w:r>
      <w:r w:rsidR="009A17F5">
        <w:t>, if interviews are held</w:t>
      </w:r>
      <w:r w:rsidR="0061575F" w:rsidRPr="00C51872">
        <w:t xml:space="preserve">. Interview questions will be consistent among interviewees. </w:t>
      </w:r>
      <w:r w:rsidR="00A66B9E">
        <w:t>Interview points will be added to proposal evaluation points, so organizations will receive a combined final ranking.</w:t>
      </w:r>
    </w:p>
    <w:p w14:paraId="356FF491" w14:textId="77777777" w:rsidR="0061575F" w:rsidRPr="00C51872" w:rsidRDefault="0061575F" w:rsidP="0061575F"/>
    <w:p w14:paraId="08B2A9B2" w14:textId="7CFD6385" w:rsidR="00B77FAF" w:rsidRDefault="002203FA" w:rsidP="00B77FAF">
      <w:pPr>
        <w:rPr>
          <w:b/>
          <w:i/>
          <w:color w:val="4472C4" w:themeColor="accent1"/>
        </w:rPr>
      </w:pPr>
      <w:r w:rsidRPr="002203FA">
        <w:rPr>
          <w:rFonts w:eastAsiaTheme="majorEastAsia" w:cstheme="majorBidi"/>
          <w:b/>
          <w:i/>
          <w:color w:val="2E74B5" w:themeColor="accent5" w:themeShade="BF"/>
        </w:rPr>
        <w:t xml:space="preserve">Q26: </w:t>
      </w:r>
      <w:r w:rsidR="00B77FAF" w:rsidRPr="00DE7AB2">
        <w:rPr>
          <w:b/>
          <w:i/>
          <w:color w:val="4472C4" w:themeColor="accent1"/>
        </w:rPr>
        <w:t>Can proposers respond to both programmatic options in the RFP?</w:t>
      </w:r>
      <w:r w:rsidR="00B77FAF" w:rsidRPr="00B77FAF">
        <w:rPr>
          <w:rFonts w:eastAsiaTheme="majorEastAsia" w:cstheme="majorBidi"/>
          <w:b/>
          <w:i/>
          <w:color w:val="2E74B5" w:themeColor="accent5" w:themeShade="BF"/>
        </w:rPr>
        <w:t xml:space="preserve"> </w:t>
      </w:r>
      <w:r w:rsidR="00B77FAF">
        <w:rPr>
          <w:rFonts w:eastAsiaTheme="majorEastAsia" w:cstheme="majorBidi"/>
          <w:b/>
          <w:i/>
          <w:color w:val="2E74B5" w:themeColor="accent5" w:themeShade="BF"/>
        </w:rPr>
        <w:t>If so,</w:t>
      </w:r>
      <w:r w:rsidR="00B77FAF">
        <w:rPr>
          <w:b/>
          <w:i/>
          <w:color w:val="4472C4" w:themeColor="accent1"/>
        </w:rPr>
        <w:t xml:space="preserve"> </w:t>
      </w:r>
      <w:r w:rsidR="00B77FAF">
        <w:rPr>
          <w:rFonts w:eastAsiaTheme="majorEastAsia" w:cstheme="majorBidi"/>
          <w:b/>
          <w:i/>
          <w:color w:val="2E74B5" w:themeColor="accent5" w:themeShade="BF"/>
        </w:rPr>
        <w:t>s</w:t>
      </w:r>
      <w:r w:rsidR="00B77FAF" w:rsidRPr="002203FA">
        <w:rPr>
          <w:rFonts w:eastAsiaTheme="majorEastAsia" w:cstheme="majorBidi"/>
          <w:b/>
          <w:i/>
          <w:color w:val="2E74B5" w:themeColor="accent5" w:themeShade="BF"/>
        </w:rPr>
        <w:t>hould proposals for pre-apprenticeship training and apprentice/journey retention be separate or combined</w:t>
      </w:r>
      <w:r w:rsidR="00B77FAF">
        <w:rPr>
          <w:rFonts w:eastAsiaTheme="majorEastAsia" w:cstheme="majorBidi"/>
          <w:b/>
          <w:i/>
          <w:color w:val="2E74B5" w:themeColor="accent5" w:themeShade="BF"/>
        </w:rPr>
        <w:t>?</w:t>
      </w:r>
    </w:p>
    <w:p w14:paraId="07AA6213" w14:textId="2B2DE36C" w:rsidR="0051717B" w:rsidRDefault="00B77FAF" w:rsidP="0051717B">
      <w:r>
        <w:t xml:space="preserve">A: A proposer may respond to one or </w:t>
      </w:r>
      <w:r w:rsidR="00C43F91">
        <w:t>both programmatic</w:t>
      </w:r>
      <w:r>
        <w:t xml:space="preserve"> options. Upon deciding</w:t>
      </w:r>
      <w:r w:rsidR="006F5487">
        <w:t>,</w:t>
      </w:r>
      <w:r>
        <w:t xml:space="preserve"> the proposer has the option to decide if it </w:t>
      </w:r>
      <w:r w:rsidR="0051717B">
        <w:t>wants to submit one or more proposal</w:t>
      </w:r>
      <w:r w:rsidR="00A66B9E">
        <w:t>s</w:t>
      </w:r>
      <w:r w:rsidR="0051717B">
        <w:t xml:space="preserve">. For example, if </w:t>
      </w:r>
      <w:r w:rsidR="00A66B9E">
        <w:t>a proposer</w:t>
      </w:r>
      <w:r w:rsidR="0051717B">
        <w:t xml:space="preserve"> wants to respond to both </w:t>
      </w:r>
      <w:r w:rsidR="00A66B9E">
        <w:t>training and retention,</w:t>
      </w:r>
      <w:r w:rsidR="0051717B">
        <w:t xml:space="preserve"> and the </w:t>
      </w:r>
      <w:r w:rsidR="00A66B9E">
        <w:t>work is</w:t>
      </w:r>
      <w:r w:rsidR="0051717B">
        <w:t xml:space="preserve"> intertwined (e.g. a training program wants to submit one proposal that includes a flow from training to retention) then a</w:t>
      </w:r>
      <w:r w:rsidR="00A66B9E">
        <w:t xml:space="preserve"> proposer</w:t>
      </w:r>
      <w:r w:rsidR="0051717B">
        <w:t xml:space="preserve"> could submit one proposal</w:t>
      </w:r>
      <w:r w:rsidR="00A66B9E">
        <w:t>. If the</w:t>
      </w:r>
      <w:r w:rsidR="00C43F91">
        <w:t xml:space="preserve"> proposer intends</w:t>
      </w:r>
      <w:r w:rsidR="00A66B9E">
        <w:t xml:space="preserve"> training and retention</w:t>
      </w:r>
      <w:r w:rsidR="00C43F91">
        <w:t xml:space="preserve"> work to be separate</w:t>
      </w:r>
      <w:r>
        <w:t xml:space="preserve"> programs that do not </w:t>
      </w:r>
      <w:r w:rsidR="00C43F91">
        <w:t>intertwine</w:t>
      </w:r>
      <w:r>
        <w:t>,</w:t>
      </w:r>
      <w:r w:rsidR="00A66B9E">
        <w:t xml:space="preserve"> the proposer may opt to submit two proposals.</w:t>
      </w:r>
      <w:r w:rsidR="0051717B">
        <w:t xml:space="preserve"> </w:t>
      </w:r>
    </w:p>
    <w:p w14:paraId="3423824E" w14:textId="77777777" w:rsidR="0061575F" w:rsidRPr="00C51872" w:rsidRDefault="0061575F" w:rsidP="0061575F"/>
    <w:p w14:paraId="514AC17A" w14:textId="77777777" w:rsidR="0061575F" w:rsidRPr="002203FA" w:rsidRDefault="002203FA" w:rsidP="0061575F">
      <w:pPr>
        <w:keepNext/>
        <w:keepLines/>
        <w:spacing w:before="40"/>
        <w:outlineLvl w:val="1"/>
        <w:rPr>
          <w:rFonts w:eastAsiaTheme="majorEastAsia" w:cstheme="majorBidi"/>
          <w:b/>
          <w:i/>
          <w:color w:val="2E74B5" w:themeColor="accent5" w:themeShade="BF"/>
        </w:rPr>
      </w:pPr>
      <w:r w:rsidRPr="002203FA">
        <w:rPr>
          <w:rFonts w:eastAsiaTheme="majorEastAsia" w:cstheme="majorBidi"/>
          <w:b/>
          <w:i/>
          <w:color w:val="2E74B5" w:themeColor="accent5" w:themeShade="BF"/>
        </w:rPr>
        <w:t xml:space="preserve">Q27: </w:t>
      </w:r>
      <w:r w:rsidR="0061575F" w:rsidRPr="002203FA">
        <w:rPr>
          <w:rFonts w:eastAsiaTheme="majorEastAsia" w:cstheme="majorBidi"/>
          <w:b/>
          <w:i/>
          <w:color w:val="2E74B5" w:themeColor="accent5" w:themeShade="BF"/>
        </w:rPr>
        <w:t>Can an agency fund more than one proposal?</w:t>
      </w:r>
    </w:p>
    <w:p w14:paraId="3BED48AD" w14:textId="6ECD6DF0" w:rsidR="0061575F" w:rsidRPr="00293CFC" w:rsidRDefault="00DE7AB2" w:rsidP="0061575F">
      <w:r>
        <w:t xml:space="preserve">A: </w:t>
      </w:r>
      <w:r w:rsidR="0061575F" w:rsidRPr="00293CFC">
        <w:t>Yes.</w:t>
      </w:r>
    </w:p>
    <w:p w14:paraId="1909E925" w14:textId="77777777" w:rsidR="0061575F" w:rsidRPr="00C51872" w:rsidRDefault="0061575F" w:rsidP="0061575F"/>
    <w:p w14:paraId="2C41F12E" w14:textId="77777777" w:rsidR="0061575F" w:rsidRPr="00DF0A5E" w:rsidRDefault="00DF0A5E" w:rsidP="0061575F">
      <w:pPr>
        <w:keepNext/>
        <w:keepLines/>
        <w:spacing w:before="40"/>
        <w:outlineLvl w:val="1"/>
        <w:rPr>
          <w:rFonts w:eastAsiaTheme="majorEastAsia" w:cstheme="majorBidi"/>
          <w:b/>
          <w:i/>
          <w:color w:val="2E74B5" w:themeColor="accent5" w:themeShade="BF"/>
        </w:rPr>
      </w:pPr>
      <w:r w:rsidRPr="00DF0A5E">
        <w:rPr>
          <w:rFonts w:eastAsiaTheme="majorEastAsia" w:cstheme="majorBidi"/>
          <w:b/>
          <w:i/>
          <w:color w:val="2E74B5" w:themeColor="accent5" w:themeShade="BF"/>
        </w:rPr>
        <w:t xml:space="preserve">Q28: </w:t>
      </w:r>
      <w:r w:rsidR="0061575F" w:rsidRPr="00DF0A5E">
        <w:rPr>
          <w:rFonts w:eastAsiaTheme="majorEastAsia" w:cstheme="majorBidi"/>
          <w:b/>
          <w:i/>
          <w:color w:val="2E74B5" w:themeColor="accent5" w:themeShade="BF"/>
        </w:rPr>
        <w:t>What is meant by administrative stipend?</w:t>
      </w:r>
    </w:p>
    <w:p w14:paraId="78CE4926" w14:textId="5496836E" w:rsidR="0061575F" w:rsidRPr="00C51872" w:rsidRDefault="00DE7AB2" w:rsidP="0061575F">
      <w:r>
        <w:t xml:space="preserve">A: </w:t>
      </w:r>
      <w:r w:rsidR="0061575F" w:rsidRPr="00C51872">
        <w:t>Contracts will be billed for milestones reach</w:t>
      </w:r>
      <w:r w:rsidR="009A17F5">
        <w:t>ed</w:t>
      </w:r>
      <w:r w:rsidR="0061575F" w:rsidRPr="00C51872">
        <w:t>, and will not include ongoing money each month for administration. Milestones should include administrative expenses, and will be negotiated per contract.</w:t>
      </w:r>
    </w:p>
    <w:p w14:paraId="1CD93609" w14:textId="77777777" w:rsidR="0061575F" w:rsidRPr="00C51872" w:rsidRDefault="0061575F" w:rsidP="0061575F"/>
    <w:p w14:paraId="53FABB3B" w14:textId="77777777" w:rsidR="0061575F" w:rsidRPr="00DF0A5E" w:rsidRDefault="00DF0A5E" w:rsidP="0061575F">
      <w:pPr>
        <w:keepNext/>
        <w:keepLines/>
        <w:spacing w:before="40"/>
        <w:outlineLvl w:val="1"/>
        <w:rPr>
          <w:rFonts w:eastAsiaTheme="majorEastAsia" w:cstheme="majorBidi"/>
          <w:b/>
          <w:i/>
          <w:color w:val="2E74B5" w:themeColor="accent5" w:themeShade="BF"/>
        </w:rPr>
      </w:pPr>
      <w:r>
        <w:rPr>
          <w:rFonts w:eastAsiaTheme="majorEastAsia" w:cstheme="majorBidi"/>
          <w:b/>
          <w:i/>
          <w:color w:val="2E74B5" w:themeColor="accent5" w:themeShade="BF"/>
        </w:rPr>
        <w:t xml:space="preserve">Q29: </w:t>
      </w:r>
      <w:r w:rsidR="0061575F" w:rsidRPr="00DF0A5E">
        <w:rPr>
          <w:rFonts w:eastAsiaTheme="majorEastAsia" w:cstheme="majorBidi"/>
          <w:b/>
          <w:i/>
          <w:color w:val="2E74B5" w:themeColor="accent5" w:themeShade="BF"/>
        </w:rPr>
        <w:t>What are some unique strategies agencies are looking for in proposals?</w:t>
      </w:r>
    </w:p>
    <w:p w14:paraId="54ED969B" w14:textId="2D3D0587" w:rsidR="0061575F" w:rsidRPr="00C51872" w:rsidRDefault="00DE7AB2" w:rsidP="0061575F">
      <w:r>
        <w:t xml:space="preserve">A: </w:t>
      </w:r>
      <w:r w:rsidR="0061575F" w:rsidRPr="00C51872">
        <w:t>The RFP has unique strategies included, though a proposal can include other strategies.</w:t>
      </w:r>
      <w:r w:rsidR="00EC6A8E">
        <w:t xml:space="preserve"> (Section 4, Scope of Work) </w:t>
      </w:r>
    </w:p>
    <w:p w14:paraId="39B79FC9" w14:textId="77777777" w:rsidR="0061575F" w:rsidRPr="00C51872" w:rsidRDefault="0061575F" w:rsidP="0061575F"/>
    <w:p w14:paraId="5479B5F0" w14:textId="77777777" w:rsidR="00B91622" w:rsidRDefault="00DF0A5E" w:rsidP="0061575F">
      <w:pPr>
        <w:keepNext/>
        <w:keepLines/>
        <w:spacing w:before="40"/>
        <w:outlineLvl w:val="1"/>
        <w:rPr>
          <w:rFonts w:eastAsiaTheme="majorEastAsia" w:cstheme="majorBidi"/>
          <w:b/>
          <w:i/>
          <w:color w:val="2E74B5" w:themeColor="accent5" w:themeShade="BF"/>
        </w:rPr>
      </w:pPr>
      <w:r w:rsidRPr="00DF0A5E">
        <w:rPr>
          <w:rFonts w:eastAsiaTheme="majorEastAsia" w:cstheme="majorBidi"/>
          <w:b/>
          <w:i/>
          <w:color w:val="2E74B5" w:themeColor="accent5" w:themeShade="BF"/>
        </w:rPr>
        <w:t xml:space="preserve">Q30: </w:t>
      </w:r>
      <w:r w:rsidR="0061575F" w:rsidRPr="00DF0A5E">
        <w:rPr>
          <w:rFonts w:eastAsiaTheme="majorEastAsia" w:cstheme="majorBidi"/>
          <w:b/>
          <w:i/>
          <w:color w:val="2E74B5" w:themeColor="accent5" w:themeShade="BF"/>
        </w:rPr>
        <w:t>Who has attended the RFP workshops?</w:t>
      </w:r>
    </w:p>
    <w:p w14:paraId="5C45A2CF" w14:textId="1909DB78" w:rsidR="00DF0A5E" w:rsidRPr="00B91622" w:rsidRDefault="00DE7AB2" w:rsidP="0061575F">
      <w:pPr>
        <w:keepNext/>
        <w:keepLines/>
        <w:spacing w:before="40"/>
        <w:outlineLvl w:val="1"/>
        <w:rPr>
          <w:rFonts w:eastAsiaTheme="majorEastAsia" w:cstheme="majorBidi"/>
          <w:b/>
          <w:i/>
          <w:color w:val="2E74B5" w:themeColor="accent5" w:themeShade="BF"/>
        </w:rPr>
      </w:pPr>
      <w:r>
        <w:t xml:space="preserve">A: </w:t>
      </w:r>
      <w:r w:rsidR="00EC6A8E">
        <w:rPr>
          <w:rFonts w:eastAsiaTheme="majorEastAsia" w:cstheme="majorBidi"/>
        </w:rPr>
        <w:t xml:space="preserve">Intelligent Partnerships, Link Staffing Services, Laborers 242, </w:t>
      </w:r>
      <w:r w:rsidR="00DF0A5E" w:rsidRPr="00DF0A5E">
        <w:rPr>
          <w:rFonts w:eastAsiaTheme="majorEastAsia" w:cstheme="majorBidi"/>
        </w:rPr>
        <w:t xml:space="preserve">Urban League of Metropolitan Seattle, Legacy of Leadership and Organizing, </w:t>
      </w:r>
      <w:r w:rsidR="00DF0A5E">
        <w:rPr>
          <w:rFonts w:eastAsiaTheme="majorEastAsia" w:cstheme="majorBidi"/>
        </w:rPr>
        <w:t xml:space="preserve">University of Washington, </w:t>
      </w:r>
      <w:r w:rsidR="00951C03">
        <w:rPr>
          <w:rFonts w:eastAsiaTheme="majorEastAsia" w:cstheme="majorBidi"/>
        </w:rPr>
        <w:t xml:space="preserve">Seattle Vocational </w:t>
      </w:r>
      <w:r w:rsidR="00EC6A8E">
        <w:rPr>
          <w:rFonts w:eastAsiaTheme="majorEastAsia" w:cstheme="majorBidi"/>
        </w:rPr>
        <w:t>Institute</w:t>
      </w:r>
      <w:r w:rsidR="00B91622">
        <w:rPr>
          <w:rFonts w:eastAsiaTheme="majorEastAsia" w:cstheme="majorBidi"/>
        </w:rPr>
        <w:t xml:space="preserve"> Pre-Apprenticeship Construction Training</w:t>
      </w:r>
      <w:r w:rsidR="00951C03">
        <w:rPr>
          <w:rFonts w:eastAsiaTheme="majorEastAsia" w:cstheme="majorBidi"/>
        </w:rPr>
        <w:t>, Pre-Apprenticeship Construction Education, Pacific CM,</w:t>
      </w:r>
      <w:r w:rsidR="00B91622">
        <w:rPr>
          <w:rFonts w:eastAsiaTheme="majorEastAsia" w:cstheme="majorBidi"/>
        </w:rPr>
        <w:t xml:space="preserve"> KAN and Workforce Development Council of Seattle-King County.</w:t>
      </w:r>
    </w:p>
    <w:p w14:paraId="7683CB3E" w14:textId="77777777" w:rsidR="0061575F" w:rsidRPr="00293CFC" w:rsidRDefault="0061575F" w:rsidP="0061575F">
      <w:pPr>
        <w:rPr>
          <w:color w:val="4472C4" w:themeColor="accent1"/>
        </w:rPr>
      </w:pPr>
    </w:p>
    <w:p w14:paraId="75D20201" w14:textId="77777777" w:rsidR="00293CFC" w:rsidRPr="00293CFC" w:rsidRDefault="00DF0A5E" w:rsidP="0061575F">
      <w:pPr>
        <w:keepNext/>
        <w:keepLines/>
        <w:spacing w:before="40"/>
        <w:outlineLvl w:val="1"/>
        <w:rPr>
          <w:rFonts w:eastAsiaTheme="majorEastAsia" w:cstheme="majorBidi"/>
          <w:b/>
          <w:i/>
          <w:color w:val="4472C4" w:themeColor="accent1"/>
        </w:rPr>
      </w:pPr>
      <w:r w:rsidRPr="00293CFC">
        <w:rPr>
          <w:rFonts w:eastAsiaTheme="majorEastAsia" w:cstheme="majorBidi"/>
          <w:b/>
          <w:i/>
          <w:color w:val="4472C4" w:themeColor="accent1"/>
        </w:rPr>
        <w:t xml:space="preserve">Q31: </w:t>
      </w:r>
      <w:r w:rsidR="00293CFC" w:rsidRPr="00293CFC">
        <w:rPr>
          <w:rFonts w:eastAsiaTheme="majorEastAsia" w:cstheme="majorBidi"/>
          <w:b/>
          <w:i/>
          <w:color w:val="4472C4" w:themeColor="accent1"/>
        </w:rPr>
        <w:t>Have any proposals been submitted thus far?</w:t>
      </w:r>
    </w:p>
    <w:p w14:paraId="391906E1" w14:textId="2A3552C0" w:rsidR="0061575F" w:rsidRPr="00C51872" w:rsidRDefault="00DE7AB2" w:rsidP="0061575F">
      <w:pPr>
        <w:keepNext/>
        <w:keepLines/>
        <w:spacing w:before="40"/>
        <w:outlineLvl w:val="1"/>
        <w:rPr>
          <w:rFonts w:eastAsiaTheme="majorEastAsia" w:cstheme="majorBidi"/>
          <w:color w:val="2F5496" w:themeColor="accent1" w:themeShade="BF"/>
        </w:rPr>
      </w:pPr>
      <w:r>
        <w:t xml:space="preserve">A: </w:t>
      </w:r>
      <w:r w:rsidR="00293CFC" w:rsidRPr="00293CFC">
        <w:rPr>
          <w:rFonts w:eastAsiaTheme="majorEastAsia" w:cstheme="majorBidi"/>
        </w:rPr>
        <w:t>No</w:t>
      </w:r>
      <w:r w:rsidR="00293CFC">
        <w:rPr>
          <w:rFonts w:eastAsiaTheme="majorEastAsia" w:cstheme="majorBidi"/>
        </w:rPr>
        <w:t>.</w:t>
      </w:r>
      <w:r w:rsidR="00293CFC" w:rsidRPr="00293CFC">
        <w:rPr>
          <w:rFonts w:eastAsiaTheme="majorEastAsia" w:cstheme="majorBidi"/>
          <w:color w:val="2F5496" w:themeColor="accent1" w:themeShade="BF"/>
        </w:rPr>
        <w:t xml:space="preserve"> </w:t>
      </w:r>
      <w:r w:rsidR="0061575F" w:rsidRPr="00293CFC">
        <w:rPr>
          <w:rFonts w:eastAsiaTheme="majorEastAsia" w:cstheme="majorBidi"/>
          <w:color w:val="2F5496" w:themeColor="accent1" w:themeShade="BF"/>
        </w:rPr>
        <w:t xml:space="preserve"> </w:t>
      </w:r>
    </w:p>
    <w:p w14:paraId="1029BB3C" w14:textId="77777777" w:rsidR="0061575F" w:rsidRPr="00C51872" w:rsidRDefault="0061575F" w:rsidP="0061575F"/>
    <w:p w14:paraId="2C00A9F1" w14:textId="77777777" w:rsidR="0061575F" w:rsidRPr="00DF0A5E" w:rsidRDefault="00DF0A5E" w:rsidP="0061575F">
      <w:pPr>
        <w:keepNext/>
        <w:keepLines/>
        <w:spacing w:before="40"/>
        <w:outlineLvl w:val="1"/>
        <w:rPr>
          <w:rFonts w:eastAsiaTheme="majorEastAsia" w:cstheme="majorBidi"/>
          <w:b/>
          <w:i/>
          <w:color w:val="2E74B5" w:themeColor="accent5" w:themeShade="BF"/>
        </w:rPr>
      </w:pPr>
      <w:r w:rsidRPr="00DF0A5E">
        <w:rPr>
          <w:rFonts w:eastAsiaTheme="majorEastAsia" w:cstheme="majorBidi"/>
          <w:b/>
          <w:i/>
          <w:color w:val="2E74B5" w:themeColor="accent5" w:themeShade="BF"/>
        </w:rPr>
        <w:t xml:space="preserve">Q32: </w:t>
      </w:r>
      <w:r w:rsidR="0061575F" w:rsidRPr="00DF0A5E">
        <w:rPr>
          <w:rFonts w:eastAsiaTheme="majorEastAsia" w:cstheme="majorBidi"/>
          <w:b/>
          <w:i/>
          <w:color w:val="2E74B5" w:themeColor="accent5" w:themeShade="BF"/>
        </w:rPr>
        <w:t>Are interviews guaranteed?</w:t>
      </w:r>
    </w:p>
    <w:p w14:paraId="30843E6B" w14:textId="5AB46684" w:rsidR="0061575F" w:rsidRDefault="00DE7AB2" w:rsidP="0061575F">
      <w:r>
        <w:t xml:space="preserve">A: </w:t>
      </w:r>
      <w:r w:rsidR="0061575F" w:rsidRPr="00C51872">
        <w:t>No. After the City completes first-round evaluations, agencies may choose to interview top proposers.</w:t>
      </w:r>
    </w:p>
    <w:p w14:paraId="3E0925C8" w14:textId="7FFB51CE" w:rsidR="00DE7AB2" w:rsidRDefault="00DE7AB2" w:rsidP="0061575F"/>
    <w:p w14:paraId="36B527BA" w14:textId="71CE7097" w:rsidR="002B51E2" w:rsidRPr="002B51E2" w:rsidRDefault="0051717B" w:rsidP="002B51E2">
      <w:pPr>
        <w:spacing w:line="360" w:lineRule="auto"/>
        <w:rPr>
          <w:b/>
          <w:i/>
          <w:sz w:val="24"/>
          <w:szCs w:val="24"/>
        </w:rPr>
      </w:pPr>
      <w:r w:rsidRPr="002B51E2">
        <w:rPr>
          <w:b/>
          <w:i/>
          <w:sz w:val="24"/>
          <w:szCs w:val="24"/>
        </w:rPr>
        <w:t xml:space="preserve">December </w:t>
      </w:r>
      <w:r w:rsidR="00D25547">
        <w:rPr>
          <w:b/>
          <w:i/>
          <w:sz w:val="24"/>
          <w:szCs w:val="24"/>
        </w:rPr>
        <w:t>7</w:t>
      </w:r>
      <w:r w:rsidR="00861FFB">
        <w:rPr>
          <w:b/>
          <w:i/>
          <w:sz w:val="24"/>
          <w:szCs w:val="24"/>
        </w:rPr>
        <w:t>, 2017</w:t>
      </w:r>
    </w:p>
    <w:p w14:paraId="677E381B" w14:textId="5EC1D5DF" w:rsidR="00DE7AB2" w:rsidRPr="00DE7AB2" w:rsidRDefault="00DE7AB2" w:rsidP="002B51E2">
      <w:pPr>
        <w:rPr>
          <w:rFonts w:eastAsia="Times New Roman"/>
          <w:b/>
          <w:i/>
          <w:color w:val="4472C4" w:themeColor="accent1"/>
        </w:rPr>
      </w:pPr>
      <w:r w:rsidRPr="00DE7AB2">
        <w:rPr>
          <w:b/>
          <w:i/>
          <w:color w:val="4472C4" w:themeColor="accent1"/>
        </w:rPr>
        <w:t xml:space="preserve">Q33: </w:t>
      </w:r>
      <w:r>
        <w:rPr>
          <w:b/>
          <w:i/>
          <w:color w:val="4472C4" w:themeColor="accent1"/>
        </w:rPr>
        <w:t>Since contract execution is expected to be in late January, will</w:t>
      </w:r>
      <w:r w:rsidRPr="00DE7AB2">
        <w:rPr>
          <w:b/>
          <w:i/>
          <w:color w:val="4472C4" w:themeColor="accent1"/>
        </w:rPr>
        <w:t xml:space="preserve"> </w:t>
      </w:r>
      <w:r w:rsidRPr="00DE7AB2">
        <w:rPr>
          <w:rFonts w:eastAsia="Times New Roman"/>
          <w:b/>
          <w:i/>
          <w:color w:val="4472C4" w:themeColor="accent1"/>
        </w:rPr>
        <w:t xml:space="preserve">students who start </w:t>
      </w:r>
      <w:r>
        <w:rPr>
          <w:rFonts w:eastAsia="Times New Roman"/>
          <w:b/>
          <w:i/>
          <w:color w:val="4472C4" w:themeColor="accent1"/>
        </w:rPr>
        <w:t xml:space="preserve">their </w:t>
      </w:r>
      <w:r w:rsidRPr="00DE7AB2">
        <w:rPr>
          <w:rFonts w:eastAsia="Times New Roman"/>
          <w:b/>
          <w:i/>
          <w:color w:val="4472C4" w:themeColor="accent1"/>
        </w:rPr>
        <w:t>pre-apprenticeship training in early January be considered eligible for funding?</w:t>
      </w:r>
    </w:p>
    <w:p w14:paraId="52C09C50" w14:textId="4E111B99" w:rsidR="00DE7AB2" w:rsidRDefault="00DE7AB2" w:rsidP="0061575F">
      <w:r>
        <w:t>A:</w:t>
      </w:r>
      <w:r w:rsidRPr="00DE7AB2">
        <w:t xml:space="preserve"> </w:t>
      </w:r>
      <w:r>
        <w:t xml:space="preserve">Awarded pre-apprenticeship training programs will not be able to bill for </w:t>
      </w:r>
      <w:r w:rsidR="00B77FAF">
        <w:t xml:space="preserve">performance </w:t>
      </w:r>
      <w:r>
        <w:t>that occur</w:t>
      </w:r>
      <w:r w:rsidR="00B77FAF">
        <w:t>s</w:t>
      </w:r>
      <w:r>
        <w:t xml:space="preserve"> before contract execution</w:t>
      </w:r>
      <w:r w:rsidR="00747D68">
        <w:t>.</w:t>
      </w:r>
      <w:r>
        <w:t xml:space="preserve"> </w:t>
      </w:r>
      <w:r w:rsidR="00747D68">
        <w:t>They</w:t>
      </w:r>
      <w:r>
        <w:t xml:space="preserve"> will be able to bill for milestones that occur after contract execution, </w:t>
      </w:r>
      <w:r w:rsidR="00747D68">
        <w:t>such as graduation or placement into construction apprenticeship, even if the students started training before the contract execution date</w:t>
      </w:r>
      <w:r>
        <w:t>.  </w:t>
      </w:r>
    </w:p>
    <w:p w14:paraId="2135EC38" w14:textId="77777777" w:rsidR="00DE7AB2" w:rsidRPr="00C51872" w:rsidRDefault="00DE7AB2" w:rsidP="0061575F"/>
    <w:p w14:paraId="5C5B6DBB" w14:textId="0A574DE8" w:rsidR="0061575F" w:rsidRDefault="00DE7AB2" w:rsidP="0061575F">
      <w:pPr>
        <w:rPr>
          <w:rFonts w:eastAsia="Times New Roman"/>
          <w:b/>
          <w:i/>
          <w:color w:val="4472C4" w:themeColor="accent1"/>
        </w:rPr>
      </w:pPr>
      <w:r w:rsidRPr="00DE7AB2">
        <w:rPr>
          <w:rFonts w:eastAsia="Times New Roman"/>
          <w:b/>
          <w:i/>
          <w:color w:val="4472C4" w:themeColor="accent1"/>
        </w:rPr>
        <w:t xml:space="preserve">Q34: Can pre-apprenticeship programs include outreach activities in </w:t>
      </w:r>
      <w:r w:rsidR="00747D68">
        <w:rPr>
          <w:rFonts w:eastAsia="Times New Roman"/>
          <w:b/>
          <w:i/>
          <w:color w:val="4472C4" w:themeColor="accent1"/>
        </w:rPr>
        <w:t>their proposals?</w:t>
      </w:r>
      <w:r w:rsidRPr="00DE7AB2">
        <w:rPr>
          <w:rFonts w:eastAsia="Times New Roman"/>
          <w:b/>
          <w:i/>
          <w:color w:val="4472C4" w:themeColor="accent1"/>
        </w:rPr>
        <w:t> </w:t>
      </w:r>
    </w:p>
    <w:p w14:paraId="64B2B2A2" w14:textId="3139972C" w:rsidR="00DE7AB2" w:rsidRDefault="00DE7AB2" w:rsidP="0061575F">
      <w:r>
        <w:t xml:space="preserve">A: Yes. </w:t>
      </w:r>
    </w:p>
    <w:p w14:paraId="3A8D7720" w14:textId="553121AE" w:rsidR="0061575F" w:rsidRPr="00C51872" w:rsidRDefault="0061575F" w:rsidP="0061575F"/>
    <w:p w14:paraId="2AAFE9A4" w14:textId="3EF10604" w:rsidR="00525F4A" w:rsidRPr="006E4D63" w:rsidRDefault="002256A9" w:rsidP="00525F4A">
      <w:pPr>
        <w:rPr>
          <w:b/>
          <w:i/>
          <w:color w:val="4472C4" w:themeColor="accent1"/>
        </w:rPr>
      </w:pPr>
      <w:r>
        <w:rPr>
          <w:b/>
          <w:i/>
          <w:color w:val="4472C4" w:themeColor="accent1"/>
        </w:rPr>
        <w:t>Q35</w:t>
      </w:r>
      <w:r w:rsidR="00C946A0" w:rsidRPr="006E4D63">
        <w:rPr>
          <w:b/>
          <w:i/>
          <w:color w:val="4472C4" w:themeColor="accent1"/>
        </w:rPr>
        <w:t>: If needed, can an awarded proposer request a no cost extension at the end of a contract term?</w:t>
      </w:r>
    </w:p>
    <w:p w14:paraId="5C05B392" w14:textId="5A4028CF" w:rsidR="00C946A0" w:rsidRDefault="00C946A0" w:rsidP="00525F4A">
      <w:r>
        <w:t>A: Yes</w:t>
      </w:r>
      <w:r w:rsidR="006E4D63">
        <w:t>. Final decision will be made at time of request.</w:t>
      </w:r>
    </w:p>
    <w:p w14:paraId="0DC0303B" w14:textId="2107003B" w:rsidR="00C946A0" w:rsidRDefault="00C946A0" w:rsidP="00525F4A"/>
    <w:p w14:paraId="24A0A523" w14:textId="358BC669" w:rsidR="00C946A0" w:rsidRPr="006E4D63" w:rsidRDefault="002256A9" w:rsidP="00525F4A">
      <w:pPr>
        <w:rPr>
          <w:b/>
          <w:i/>
          <w:color w:val="4472C4" w:themeColor="accent1"/>
        </w:rPr>
      </w:pPr>
      <w:r>
        <w:rPr>
          <w:b/>
          <w:i/>
          <w:color w:val="4472C4" w:themeColor="accent1"/>
        </w:rPr>
        <w:t>Q36</w:t>
      </w:r>
      <w:r w:rsidR="00C946A0" w:rsidRPr="006E4D63">
        <w:rPr>
          <w:b/>
          <w:i/>
          <w:color w:val="4472C4" w:themeColor="accent1"/>
        </w:rPr>
        <w:t>: Is there a minimum or maximum dollar amount a proposer can request?</w:t>
      </w:r>
    </w:p>
    <w:p w14:paraId="3E72390F" w14:textId="67E64EB5" w:rsidR="00C946A0" w:rsidRDefault="00C946A0" w:rsidP="00525F4A">
      <w:r>
        <w:t>A: No.</w:t>
      </w:r>
    </w:p>
    <w:p w14:paraId="096656DD" w14:textId="361F1F59" w:rsidR="00C946A0" w:rsidRDefault="00C946A0" w:rsidP="00525F4A"/>
    <w:p w14:paraId="6302629C" w14:textId="58929DE1" w:rsidR="00C946A0" w:rsidRPr="00DA25D6" w:rsidRDefault="002256A9" w:rsidP="00525F4A">
      <w:pPr>
        <w:rPr>
          <w:b/>
          <w:i/>
          <w:color w:val="4472C4" w:themeColor="accent1"/>
        </w:rPr>
      </w:pPr>
      <w:r>
        <w:rPr>
          <w:b/>
          <w:i/>
          <w:color w:val="4472C4" w:themeColor="accent1"/>
        </w:rPr>
        <w:t>Q37</w:t>
      </w:r>
      <w:r w:rsidR="00C946A0" w:rsidRPr="00DA25D6">
        <w:rPr>
          <w:b/>
          <w:i/>
          <w:color w:val="4472C4" w:themeColor="accent1"/>
        </w:rPr>
        <w:t>: What is the proposal response page limit?</w:t>
      </w:r>
    </w:p>
    <w:p w14:paraId="2DF14C7C" w14:textId="33366331" w:rsidR="00C946A0" w:rsidRDefault="00C946A0" w:rsidP="00525F4A">
      <w:r>
        <w:t xml:space="preserve">A: </w:t>
      </w:r>
      <w:r w:rsidRPr="00C31A16">
        <w:rPr>
          <w:b/>
          <w:u w:val="single"/>
        </w:rPr>
        <w:t>7 pages single sided and 14 pages double sided.</w:t>
      </w:r>
      <w:r w:rsidR="00DA0F48" w:rsidRPr="00C31A16">
        <w:t xml:space="preserve"> Please note that the proposal response page limit written in the RFP is written backwards incorrect so please adhere to this Q&amp;A.</w:t>
      </w:r>
    </w:p>
    <w:p w14:paraId="78DC9C83" w14:textId="426D4507" w:rsidR="00C946A0" w:rsidRDefault="00C946A0" w:rsidP="00525F4A"/>
    <w:p w14:paraId="74FDE5B2" w14:textId="66555ECE" w:rsidR="00C946A0" w:rsidRPr="00DA25D6" w:rsidRDefault="002256A9" w:rsidP="00525F4A">
      <w:pPr>
        <w:rPr>
          <w:b/>
          <w:i/>
          <w:color w:val="4472C4" w:themeColor="accent1"/>
        </w:rPr>
      </w:pPr>
      <w:r>
        <w:rPr>
          <w:b/>
          <w:i/>
          <w:color w:val="4472C4" w:themeColor="accent1"/>
        </w:rPr>
        <w:t>Q38</w:t>
      </w:r>
      <w:r w:rsidR="00C946A0" w:rsidRPr="00DA25D6">
        <w:rPr>
          <w:b/>
          <w:i/>
          <w:color w:val="4472C4" w:themeColor="accent1"/>
        </w:rPr>
        <w:t xml:space="preserve">: What items will count towards the page limit? </w:t>
      </w:r>
    </w:p>
    <w:p w14:paraId="0091F673" w14:textId="4C3CF8F2" w:rsidR="00C946A0" w:rsidRDefault="00C946A0" w:rsidP="00525F4A">
      <w:r>
        <w:t>A: The proposal response is the only items that will count toward the page limit (see Section 8 of the RFP).</w:t>
      </w:r>
    </w:p>
    <w:p w14:paraId="5A27439D" w14:textId="2F59C6DC" w:rsidR="00C946A0" w:rsidRDefault="00C946A0" w:rsidP="00525F4A"/>
    <w:p w14:paraId="222EC42F" w14:textId="33781D1E" w:rsidR="00C946A0" w:rsidRPr="00DA25D6" w:rsidRDefault="002256A9" w:rsidP="00525F4A">
      <w:pPr>
        <w:rPr>
          <w:b/>
          <w:i/>
          <w:color w:val="4472C4" w:themeColor="accent1"/>
        </w:rPr>
      </w:pPr>
      <w:r>
        <w:rPr>
          <w:b/>
          <w:i/>
          <w:color w:val="4472C4" w:themeColor="accent1"/>
        </w:rPr>
        <w:t>Q39</w:t>
      </w:r>
      <w:r w:rsidR="00C946A0" w:rsidRPr="00DA25D6">
        <w:rPr>
          <w:b/>
          <w:i/>
          <w:color w:val="4472C4" w:themeColor="accent1"/>
        </w:rPr>
        <w:t xml:space="preserve">: </w:t>
      </w:r>
      <w:r w:rsidR="00434893" w:rsidRPr="00DA25D6">
        <w:rPr>
          <w:b/>
          <w:i/>
          <w:color w:val="4472C4" w:themeColor="accent1"/>
        </w:rPr>
        <w:t xml:space="preserve">Can </w:t>
      </w:r>
      <w:r w:rsidR="006E4D63" w:rsidRPr="00DA25D6">
        <w:rPr>
          <w:b/>
          <w:i/>
          <w:color w:val="4472C4" w:themeColor="accent1"/>
        </w:rPr>
        <w:t>a proposal</w:t>
      </w:r>
      <w:r w:rsidR="00434893" w:rsidRPr="00DA25D6">
        <w:rPr>
          <w:b/>
          <w:i/>
          <w:color w:val="4472C4" w:themeColor="accent1"/>
        </w:rPr>
        <w:t xml:space="preserve"> have an anticipated start date later that is later than January 2018?</w:t>
      </w:r>
    </w:p>
    <w:p w14:paraId="34064D34" w14:textId="4EA18054" w:rsidR="00434893" w:rsidRDefault="006E4D63" w:rsidP="00525F4A">
      <w:r>
        <w:t>Yes. C</w:t>
      </w:r>
      <w:r w:rsidR="00434893">
        <w:t xml:space="preserve">ontract terms will be negotiated based on the proposer’s scope of services. (Section 2, Performance Schedule). </w:t>
      </w:r>
    </w:p>
    <w:p w14:paraId="24C4FED1" w14:textId="34706BC6" w:rsidR="006E4D63" w:rsidRDefault="006E4D63" w:rsidP="00525F4A"/>
    <w:p w14:paraId="57E34838" w14:textId="09FA5346" w:rsidR="006E4D63" w:rsidRPr="00DA25D6" w:rsidRDefault="002256A9" w:rsidP="00525F4A">
      <w:pPr>
        <w:rPr>
          <w:b/>
          <w:i/>
        </w:rPr>
      </w:pPr>
      <w:r>
        <w:rPr>
          <w:b/>
          <w:i/>
          <w:color w:val="4472C4" w:themeColor="accent1"/>
        </w:rPr>
        <w:t>Q40</w:t>
      </w:r>
      <w:r w:rsidR="006E4D63" w:rsidRPr="00DA25D6">
        <w:rPr>
          <w:b/>
          <w:i/>
          <w:color w:val="4472C4" w:themeColor="accent1"/>
        </w:rPr>
        <w:t>: Can a proposal budget include cost of living increases?</w:t>
      </w:r>
    </w:p>
    <w:p w14:paraId="5CD51919" w14:textId="19D0F784" w:rsidR="006E4D63" w:rsidRDefault="006E4D63" w:rsidP="00525F4A">
      <w:r>
        <w:t xml:space="preserve">A: Yes. Final budget will be negotiated during contract negotiations. </w:t>
      </w:r>
    </w:p>
    <w:p w14:paraId="00B44186" w14:textId="1E42587F" w:rsidR="00FE4494" w:rsidRDefault="00FE4494" w:rsidP="00525F4A"/>
    <w:p w14:paraId="7249B70F" w14:textId="2656BCFB" w:rsidR="00FE4494" w:rsidRPr="008A4548" w:rsidRDefault="002256A9" w:rsidP="00525F4A">
      <w:pPr>
        <w:rPr>
          <w:b/>
          <w:i/>
          <w:color w:val="4472C4" w:themeColor="accent1"/>
        </w:rPr>
      </w:pPr>
      <w:r>
        <w:rPr>
          <w:b/>
          <w:i/>
          <w:color w:val="4472C4" w:themeColor="accent1"/>
        </w:rPr>
        <w:t>Q41</w:t>
      </w:r>
      <w:r w:rsidR="00FE4494" w:rsidRPr="008A4548">
        <w:rPr>
          <w:b/>
          <w:i/>
          <w:color w:val="4472C4" w:themeColor="accent1"/>
        </w:rPr>
        <w:t xml:space="preserve">: </w:t>
      </w:r>
      <w:r w:rsidR="00463509">
        <w:rPr>
          <w:b/>
          <w:i/>
          <w:color w:val="4472C4" w:themeColor="accent1"/>
        </w:rPr>
        <w:t xml:space="preserve">On collaborative proposals should past and proposed performance be rolled up or submitted on separate tables? </w:t>
      </w:r>
    </w:p>
    <w:p w14:paraId="50DC22C8" w14:textId="7D0B5DA7" w:rsidR="00DC32B8" w:rsidRDefault="00DC32B8" w:rsidP="00525F4A">
      <w:r>
        <w:t xml:space="preserve">A: </w:t>
      </w:r>
      <w:r w:rsidR="00463509">
        <w:t>It’s up to the discretion of the proposer how to best submit past and proposed performance, however a</w:t>
      </w:r>
      <w:r w:rsidR="00536E4B">
        <w:t>gencies</w:t>
      </w:r>
      <w:r>
        <w:t xml:space="preserve"> </w:t>
      </w:r>
      <w:r w:rsidR="00463509">
        <w:t>would prefer to see it broken out by trade or organization.</w:t>
      </w:r>
    </w:p>
    <w:p w14:paraId="19B536B5" w14:textId="77777777" w:rsidR="00DA0F48" w:rsidRDefault="00DA0F48" w:rsidP="00525F4A"/>
    <w:p w14:paraId="58006DEF" w14:textId="2EE6EC9B" w:rsidR="00DA0F48" w:rsidRDefault="00DA0F48" w:rsidP="00DA0F48">
      <w:pPr>
        <w:spacing w:line="360" w:lineRule="auto"/>
        <w:rPr>
          <w:b/>
          <w:i/>
          <w:sz w:val="24"/>
          <w:szCs w:val="24"/>
        </w:rPr>
      </w:pPr>
      <w:r w:rsidRPr="002B51E2">
        <w:rPr>
          <w:b/>
          <w:i/>
          <w:sz w:val="24"/>
          <w:szCs w:val="24"/>
        </w:rPr>
        <w:t xml:space="preserve">December </w:t>
      </w:r>
      <w:r w:rsidR="0057215C">
        <w:rPr>
          <w:b/>
          <w:i/>
          <w:sz w:val="24"/>
          <w:szCs w:val="24"/>
        </w:rPr>
        <w:t>13</w:t>
      </w:r>
      <w:r>
        <w:rPr>
          <w:b/>
          <w:i/>
          <w:sz w:val="24"/>
          <w:szCs w:val="24"/>
        </w:rPr>
        <w:t>, 2017</w:t>
      </w:r>
    </w:p>
    <w:p w14:paraId="4F7A78A1" w14:textId="6DCC4217" w:rsidR="00DA0F48" w:rsidRPr="00F05FB1" w:rsidRDefault="00DA0F48" w:rsidP="00DA0F48">
      <w:pPr>
        <w:rPr>
          <w:b/>
          <w:i/>
          <w:color w:val="4472C4" w:themeColor="accent1"/>
        </w:rPr>
      </w:pPr>
      <w:r w:rsidRPr="00F05FB1">
        <w:rPr>
          <w:b/>
          <w:i/>
          <w:color w:val="4472C4" w:themeColor="accent1"/>
        </w:rPr>
        <w:t>Q42: Re Section 8 (p.7) of the RFP, item #2 Proof of Legal Business Name</w:t>
      </w:r>
      <w:r w:rsidR="00512931">
        <w:rPr>
          <w:b/>
          <w:i/>
          <w:color w:val="4472C4" w:themeColor="accent1"/>
        </w:rPr>
        <w:t xml:space="preserve"> --</w:t>
      </w:r>
      <w:r w:rsidRPr="00F05FB1">
        <w:rPr>
          <w:b/>
          <w:i/>
          <w:color w:val="4472C4" w:themeColor="accent1"/>
        </w:rPr>
        <w:t xml:space="preserve"> If a proposer is a public agency as opposed to a corporation. What kind of documentation would be acceptable?</w:t>
      </w:r>
    </w:p>
    <w:p w14:paraId="5F7CEF81" w14:textId="66BF5BE5" w:rsidR="00DA0F48" w:rsidRDefault="00DA0F48" w:rsidP="001C0C2B">
      <w:r w:rsidRPr="00DA0F48">
        <w:t>A:</w:t>
      </w:r>
      <w:r>
        <w:t xml:space="preserve"> </w:t>
      </w:r>
      <w:r w:rsidR="001C0C2B">
        <w:t>If a proposer is a public agency as opposed to a corporation, acceptable documentation can include government issued paperwork and/or charter that verifies the legal name of a public agency. For some background, the legal name is used to check to make sure an agency isn’t debarred by the federal government from collecting funds and to ensure correct naming on a contract.</w:t>
      </w:r>
    </w:p>
    <w:p w14:paraId="5635590D" w14:textId="57A62109" w:rsidR="001C0C2B" w:rsidRDefault="001C0C2B" w:rsidP="001C0C2B"/>
    <w:p w14:paraId="1B4E43E4" w14:textId="76BB8D1B" w:rsidR="001C0C2B" w:rsidRPr="001C0C2B" w:rsidRDefault="001C0C2B" w:rsidP="001C0C2B">
      <w:pPr>
        <w:rPr>
          <w:b/>
          <w:i/>
          <w:color w:val="4472C4" w:themeColor="accent1"/>
        </w:rPr>
      </w:pPr>
      <w:r w:rsidRPr="001C0C2B">
        <w:rPr>
          <w:b/>
          <w:i/>
          <w:color w:val="4472C4" w:themeColor="accent1"/>
        </w:rPr>
        <w:t>Q43: What is a subconsultant?</w:t>
      </w:r>
    </w:p>
    <w:p w14:paraId="7C87F570" w14:textId="57B4A1E1" w:rsidR="001C0C2B" w:rsidRDefault="001C0C2B" w:rsidP="001C0C2B">
      <w:r>
        <w:t xml:space="preserve">A: In relation to the RFP, a prime consultant would be any person, association, partnership, corporation or other legal entity that would perform services under contract with the City. A subconsultant would be any person, association, partnership, corporation or other legal entity that has a contract with the prime consultant and not directly with the City. An example would be if two organizations submitted a collaborative proposal, one would act as a prime consultant and the other organization would act as the subconsultant to the prime, meaning they would work directly with the prime consultant and not the City. </w:t>
      </w:r>
    </w:p>
    <w:p w14:paraId="47B31E9D" w14:textId="3DAA39C3" w:rsidR="001C0C2B" w:rsidRDefault="001C0C2B" w:rsidP="001C0C2B"/>
    <w:p w14:paraId="5E303703" w14:textId="55331E75" w:rsidR="00512931" w:rsidRPr="00512931" w:rsidRDefault="00512931" w:rsidP="001C0C2B">
      <w:pPr>
        <w:rPr>
          <w:b/>
          <w:i/>
          <w:color w:val="4472C4" w:themeColor="accent1"/>
        </w:rPr>
      </w:pPr>
      <w:r w:rsidRPr="00512931">
        <w:rPr>
          <w:b/>
          <w:i/>
          <w:color w:val="4472C4" w:themeColor="accent1"/>
        </w:rPr>
        <w:t xml:space="preserve">Q44: Can </w:t>
      </w:r>
      <w:r>
        <w:rPr>
          <w:b/>
          <w:i/>
          <w:color w:val="4472C4" w:themeColor="accent1"/>
        </w:rPr>
        <w:t xml:space="preserve">data </w:t>
      </w:r>
      <w:r w:rsidRPr="00512931">
        <w:rPr>
          <w:b/>
          <w:i/>
          <w:color w:val="4472C4" w:themeColor="accent1"/>
        </w:rPr>
        <w:t>citations be attached to a proposal</w:t>
      </w:r>
      <w:r>
        <w:rPr>
          <w:b/>
          <w:i/>
          <w:color w:val="4472C4" w:themeColor="accent1"/>
        </w:rPr>
        <w:t xml:space="preserve"> and not count towards the proposal response page limit</w:t>
      </w:r>
      <w:r w:rsidRPr="00512931">
        <w:rPr>
          <w:b/>
          <w:i/>
          <w:color w:val="4472C4" w:themeColor="accent1"/>
        </w:rPr>
        <w:t>?</w:t>
      </w:r>
    </w:p>
    <w:p w14:paraId="5E081905" w14:textId="7DDD25F7" w:rsidR="00512931" w:rsidRDefault="00512931" w:rsidP="001C0C2B">
      <w:r>
        <w:t>A: Yes.</w:t>
      </w:r>
    </w:p>
    <w:p w14:paraId="280675D5" w14:textId="1AE34506" w:rsidR="00512931" w:rsidRDefault="00512931" w:rsidP="001C0C2B"/>
    <w:p w14:paraId="1BDBA616" w14:textId="11A3503A" w:rsidR="00512931" w:rsidRPr="00512931" w:rsidRDefault="00512931" w:rsidP="001C0C2B">
      <w:pPr>
        <w:rPr>
          <w:b/>
          <w:i/>
          <w:color w:val="4472C4" w:themeColor="accent1"/>
        </w:rPr>
      </w:pPr>
      <w:r w:rsidRPr="00512931">
        <w:rPr>
          <w:b/>
          <w:i/>
          <w:color w:val="4472C4" w:themeColor="accent1"/>
        </w:rPr>
        <w:t xml:space="preserve">Q45: Can a proposal include language that </w:t>
      </w:r>
      <w:r>
        <w:rPr>
          <w:b/>
          <w:i/>
          <w:color w:val="4472C4" w:themeColor="accent1"/>
        </w:rPr>
        <w:t>preferences</w:t>
      </w:r>
      <w:r w:rsidRPr="00512931">
        <w:rPr>
          <w:b/>
          <w:i/>
          <w:color w:val="4472C4" w:themeColor="accent1"/>
        </w:rPr>
        <w:t xml:space="preserve"> contracting with one</w:t>
      </w:r>
      <w:r>
        <w:rPr>
          <w:b/>
          <w:i/>
          <w:color w:val="4472C4" w:themeColor="accent1"/>
        </w:rPr>
        <w:t xml:space="preserve"> of the three</w:t>
      </w:r>
      <w:r w:rsidRPr="00512931">
        <w:rPr>
          <w:b/>
          <w:i/>
          <w:color w:val="4472C4" w:themeColor="accent1"/>
        </w:rPr>
        <w:t xml:space="preserve"> public agenc</w:t>
      </w:r>
      <w:r>
        <w:rPr>
          <w:b/>
          <w:i/>
          <w:color w:val="4472C4" w:themeColor="accent1"/>
        </w:rPr>
        <w:t>ies</w:t>
      </w:r>
      <w:r w:rsidRPr="00512931">
        <w:rPr>
          <w:b/>
          <w:i/>
          <w:color w:val="4472C4" w:themeColor="accent1"/>
        </w:rPr>
        <w:t>?</w:t>
      </w:r>
    </w:p>
    <w:p w14:paraId="7B03D4A1" w14:textId="77CB52E4" w:rsidR="00512931" w:rsidRDefault="00512931" w:rsidP="001C0C2B">
      <w:r>
        <w:t>A: No</w:t>
      </w:r>
    </w:p>
    <w:p w14:paraId="1B41C670" w14:textId="77777777" w:rsidR="00512931" w:rsidRDefault="00512931" w:rsidP="001C0C2B"/>
    <w:p w14:paraId="4E37E838" w14:textId="326A8DD2" w:rsidR="00512931" w:rsidRPr="00C31A16" w:rsidRDefault="00512931" w:rsidP="001C0C2B">
      <w:pPr>
        <w:rPr>
          <w:b/>
          <w:i/>
          <w:color w:val="4472C4" w:themeColor="accent1"/>
        </w:rPr>
      </w:pPr>
      <w:r w:rsidRPr="00C31A16">
        <w:rPr>
          <w:b/>
          <w:i/>
          <w:color w:val="4472C4" w:themeColor="accent1"/>
        </w:rPr>
        <w:t xml:space="preserve">Q46: Re Section 8 (p.10) </w:t>
      </w:r>
      <w:r w:rsidR="00EB5153" w:rsidRPr="00C31A16">
        <w:rPr>
          <w:b/>
          <w:i/>
          <w:color w:val="4472C4" w:themeColor="accent1"/>
        </w:rPr>
        <w:t xml:space="preserve">of the RFP, question 6. – Is there flexibility to include costs and budget related items in the workplan? </w:t>
      </w:r>
    </w:p>
    <w:p w14:paraId="4894727E" w14:textId="1CD3D4B5" w:rsidR="00EB5153" w:rsidRDefault="00EB5153" w:rsidP="001C0C2B">
      <w:r>
        <w:t xml:space="preserve">A: Yes. </w:t>
      </w:r>
    </w:p>
    <w:p w14:paraId="0593DD3A" w14:textId="149AB9C3" w:rsidR="00845FCA" w:rsidRDefault="00845FCA" w:rsidP="001C0C2B"/>
    <w:p w14:paraId="0ED53074" w14:textId="67A99F2E" w:rsidR="00845FCA" w:rsidRPr="00C31A16" w:rsidRDefault="00845FCA" w:rsidP="001C0C2B">
      <w:pPr>
        <w:rPr>
          <w:b/>
          <w:i/>
          <w:color w:val="4472C4" w:themeColor="accent1"/>
        </w:rPr>
      </w:pPr>
      <w:bookmarkStart w:id="3" w:name="_GoBack"/>
      <w:r w:rsidRPr="00C31A16">
        <w:rPr>
          <w:b/>
          <w:i/>
          <w:color w:val="4472C4" w:themeColor="accent1"/>
        </w:rPr>
        <w:t xml:space="preserve">Q47: Is </w:t>
      </w:r>
      <w:r w:rsidR="00B96586" w:rsidRPr="00C31A16">
        <w:rPr>
          <w:b/>
          <w:i/>
          <w:color w:val="4472C4" w:themeColor="accent1"/>
        </w:rPr>
        <w:t xml:space="preserve">it </w:t>
      </w:r>
      <w:r w:rsidRPr="00C31A16">
        <w:rPr>
          <w:b/>
          <w:i/>
          <w:color w:val="4472C4" w:themeColor="accent1"/>
        </w:rPr>
        <w:t xml:space="preserve">required to complete each performance metric in the budget table template if </w:t>
      </w:r>
      <w:r w:rsidR="00B96586" w:rsidRPr="00C31A16">
        <w:rPr>
          <w:b/>
          <w:i/>
          <w:color w:val="4472C4" w:themeColor="accent1"/>
        </w:rPr>
        <w:t>a</w:t>
      </w:r>
      <w:r w:rsidRPr="00C31A16">
        <w:rPr>
          <w:b/>
          <w:i/>
          <w:color w:val="4472C4" w:themeColor="accent1"/>
        </w:rPr>
        <w:t xml:space="preserve"> proposal is responding to one programmatic option?</w:t>
      </w:r>
    </w:p>
    <w:bookmarkEnd w:id="3"/>
    <w:p w14:paraId="49269CB7" w14:textId="14550A07" w:rsidR="00845FCA" w:rsidRDefault="00BA58ED" w:rsidP="001C0C2B">
      <w:r>
        <w:t xml:space="preserve">A: </w:t>
      </w:r>
      <w:r w:rsidR="00845FCA">
        <w:t xml:space="preserve">No. </w:t>
      </w:r>
      <w:r w:rsidR="00B96586">
        <w:t>A proposal</w:t>
      </w:r>
      <w:r w:rsidR="00845FCA">
        <w:t xml:space="preserve"> only needs to complete the performance metric </w:t>
      </w:r>
      <w:r w:rsidR="00B96586">
        <w:t xml:space="preserve">in the budget table template </w:t>
      </w:r>
      <w:r w:rsidR="00845FCA">
        <w:t>that is rel</w:t>
      </w:r>
      <w:r w:rsidR="00B96586">
        <w:t>evant</w:t>
      </w:r>
      <w:r w:rsidR="00845FCA">
        <w:t xml:space="preserve"> to </w:t>
      </w:r>
      <w:r w:rsidR="00B96586">
        <w:t xml:space="preserve">the proposed </w:t>
      </w:r>
      <w:r w:rsidR="00845FCA">
        <w:t>programmatic option.</w:t>
      </w:r>
    </w:p>
    <w:p w14:paraId="112338F2" w14:textId="0F4C5889" w:rsidR="00845FCA" w:rsidRDefault="00845FCA" w:rsidP="001C0C2B"/>
    <w:p w14:paraId="18912414" w14:textId="77777777" w:rsidR="00BA58ED" w:rsidRPr="00BA58ED" w:rsidRDefault="00BA58ED" w:rsidP="001C0C2B">
      <w:pPr>
        <w:rPr>
          <w:b/>
          <w:i/>
          <w:color w:val="4472C4" w:themeColor="accent1"/>
        </w:rPr>
      </w:pPr>
      <w:r w:rsidRPr="00BA58ED">
        <w:rPr>
          <w:b/>
          <w:i/>
          <w:color w:val="4472C4" w:themeColor="accent1"/>
        </w:rPr>
        <w:t>Budget</w:t>
      </w:r>
    </w:p>
    <w:p w14:paraId="7EED3138" w14:textId="7271F356" w:rsidR="00845FCA" w:rsidRPr="00BA58ED" w:rsidRDefault="00845FCA" w:rsidP="001C0C2B">
      <w:pPr>
        <w:rPr>
          <w:i/>
        </w:rPr>
      </w:pPr>
      <w:r w:rsidRPr="00BA58ED">
        <w:rPr>
          <w:i/>
        </w:rPr>
        <w:t>See below for a</w:t>
      </w:r>
      <w:r w:rsidR="004835C5" w:rsidRPr="00BA58ED">
        <w:rPr>
          <w:i/>
        </w:rPr>
        <w:t>n example of how to fill a budget table</w:t>
      </w:r>
      <w:r w:rsidRPr="00BA58ED">
        <w:rPr>
          <w:i/>
        </w:rPr>
        <w:t xml:space="preserve">. </w:t>
      </w:r>
      <w:r w:rsidR="004835C5" w:rsidRPr="00BA58ED">
        <w:rPr>
          <w:i/>
        </w:rPr>
        <w:t xml:space="preserve">This may be a reference, but you can shape your budget to best align with your organization. </w:t>
      </w:r>
    </w:p>
    <w:p w14:paraId="3A4FEAC9" w14:textId="2718AFE4" w:rsidR="00845FCA" w:rsidRDefault="00845FCA" w:rsidP="001C0C2B">
      <w:r>
        <w:t xml:space="preserve"> </w:t>
      </w:r>
      <w:bookmarkStart w:id="4" w:name="_MON_1575194374"/>
      <w:bookmarkEnd w:id="4"/>
      <w:r w:rsidR="00BA58ED">
        <w:object w:dxaOrig="1531" w:dyaOrig="990" w14:anchorId="4D3C8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8" ShapeID="_x0000_i1025" DrawAspect="Icon" ObjectID="_1575206469" r:id="rId14">
            <o:FieldCodes>\s</o:FieldCodes>
          </o:OLEObject>
        </w:object>
      </w:r>
    </w:p>
    <w:p w14:paraId="122FCFCF" w14:textId="4F43F6FD" w:rsidR="00512931" w:rsidRDefault="00512931" w:rsidP="001C0C2B"/>
    <w:p w14:paraId="7D6729FD" w14:textId="77777777" w:rsidR="00512931" w:rsidRDefault="00512931" w:rsidP="001C0C2B"/>
    <w:p w14:paraId="697B88F5" w14:textId="77777777" w:rsidR="00512931" w:rsidRDefault="00512931" w:rsidP="001C0C2B"/>
    <w:p w14:paraId="14214850" w14:textId="13F6D2A3" w:rsidR="001C0C2B" w:rsidRDefault="001C0C2B" w:rsidP="001C0C2B"/>
    <w:p w14:paraId="01AA20DE" w14:textId="77777777" w:rsidR="001C0C2B" w:rsidRPr="00DA0F48" w:rsidRDefault="001C0C2B" w:rsidP="001C0C2B"/>
    <w:p w14:paraId="6FB0D002" w14:textId="77777777" w:rsidR="00DA0F48" w:rsidRPr="002B51E2" w:rsidRDefault="00DA0F48" w:rsidP="00DA0F48">
      <w:pPr>
        <w:spacing w:line="360" w:lineRule="auto"/>
        <w:rPr>
          <w:b/>
          <w:i/>
          <w:sz w:val="24"/>
          <w:szCs w:val="24"/>
        </w:rPr>
      </w:pPr>
    </w:p>
    <w:p w14:paraId="06652D8D" w14:textId="77777777" w:rsidR="00D25547" w:rsidRDefault="00D25547" w:rsidP="00525F4A"/>
    <w:p w14:paraId="23059E9F" w14:textId="29A2EEBD" w:rsidR="00C946A0" w:rsidRDefault="00C946A0" w:rsidP="00525F4A"/>
    <w:p w14:paraId="6AAD8C3E" w14:textId="77777777" w:rsidR="00C946A0" w:rsidRDefault="00C946A0" w:rsidP="00525F4A"/>
    <w:p w14:paraId="2C880363" w14:textId="77777777" w:rsidR="00C946A0" w:rsidRDefault="00C946A0" w:rsidP="00525F4A"/>
    <w:p w14:paraId="40BF74BE" w14:textId="229A352D" w:rsidR="0061575F" w:rsidRPr="00C51872" w:rsidRDefault="0061575F" w:rsidP="0061575F"/>
    <w:p w14:paraId="0BEE6303" w14:textId="77777777" w:rsidR="0061575F" w:rsidRPr="00C51872" w:rsidRDefault="0061575F" w:rsidP="0061575F"/>
    <w:p w14:paraId="5359103A" w14:textId="77777777" w:rsidR="00E55047" w:rsidRPr="00C51872" w:rsidRDefault="00E55047"/>
    <w:p w14:paraId="1AD06C5F" w14:textId="77777777" w:rsidR="00F90711" w:rsidRPr="00C51872" w:rsidRDefault="00F90711"/>
    <w:p w14:paraId="48DA302F" w14:textId="77777777" w:rsidR="00F90711" w:rsidRPr="00C51872" w:rsidRDefault="00F90711"/>
    <w:p w14:paraId="75775356" w14:textId="77777777" w:rsidR="00302EFC" w:rsidRPr="00C51872" w:rsidRDefault="00302EFC"/>
    <w:p w14:paraId="7DC50964" w14:textId="77777777" w:rsidR="00302EFC" w:rsidRDefault="00302EFC"/>
    <w:sectPr w:rsidR="00302EF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A9EE5" w14:textId="77777777" w:rsidR="00951C03" w:rsidRDefault="00951C03" w:rsidP="00E90B4E">
      <w:r>
        <w:separator/>
      </w:r>
    </w:p>
  </w:endnote>
  <w:endnote w:type="continuationSeparator" w:id="0">
    <w:p w14:paraId="4261D617" w14:textId="77777777" w:rsidR="00951C03" w:rsidRDefault="00951C03" w:rsidP="00E9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8A34" w14:textId="023924EB" w:rsidR="00951C03" w:rsidRDefault="00951C03">
    <w:pPr>
      <w:pStyle w:val="Footer"/>
    </w:pPr>
    <w:r>
      <w:t>1</w:t>
    </w:r>
    <w:r w:rsidR="00747D68">
      <w:t>2</w:t>
    </w:r>
    <w:r>
      <w:t>/</w:t>
    </w:r>
    <w:r w:rsidR="00747D68">
      <w:t>7</w:t>
    </w:r>
    <w: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F74AE" w14:textId="77777777" w:rsidR="00951C03" w:rsidRDefault="00951C03" w:rsidP="00E90B4E">
      <w:r>
        <w:separator/>
      </w:r>
    </w:p>
  </w:footnote>
  <w:footnote w:type="continuationSeparator" w:id="0">
    <w:p w14:paraId="332701F3" w14:textId="77777777" w:rsidR="00951C03" w:rsidRDefault="00951C03" w:rsidP="00E90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A25BE"/>
    <w:multiLevelType w:val="hybridMultilevel"/>
    <w:tmpl w:val="B7B8B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F1"/>
    <w:rsid w:val="00001A93"/>
    <w:rsid w:val="0001713C"/>
    <w:rsid w:val="0003136E"/>
    <w:rsid w:val="00035218"/>
    <w:rsid w:val="00076621"/>
    <w:rsid w:val="000A17B1"/>
    <w:rsid w:val="000A413F"/>
    <w:rsid w:val="000B0AB5"/>
    <w:rsid w:val="000E3C20"/>
    <w:rsid w:val="000F4DFE"/>
    <w:rsid w:val="000F7E49"/>
    <w:rsid w:val="00106007"/>
    <w:rsid w:val="00106DBE"/>
    <w:rsid w:val="0011335C"/>
    <w:rsid w:val="00142546"/>
    <w:rsid w:val="00176004"/>
    <w:rsid w:val="001C0C2B"/>
    <w:rsid w:val="001E618B"/>
    <w:rsid w:val="002203FA"/>
    <w:rsid w:val="002256A9"/>
    <w:rsid w:val="00267562"/>
    <w:rsid w:val="00293CFC"/>
    <w:rsid w:val="00296F5C"/>
    <w:rsid w:val="002B16C9"/>
    <w:rsid w:val="002B51E2"/>
    <w:rsid w:val="002F75AD"/>
    <w:rsid w:val="00302EFC"/>
    <w:rsid w:val="00407287"/>
    <w:rsid w:val="004251B9"/>
    <w:rsid w:val="00426F94"/>
    <w:rsid w:val="00434893"/>
    <w:rsid w:val="004515BF"/>
    <w:rsid w:val="00456338"/>
    <w:rsid w:val="00463509"/>
    <w:rsid w:val="00467233"/>
    <w:rsid w:val="00474A5F"/>
    <w:rsid w:val="004835C5"/>
    <w:rsid w:val="0048613D"/>
    <w:rsid w:val="0049140B"/>
    <w:rsid w:val="00493466"/>
    <w:rsid w:val="004C37F4"/>
    <w:rsid w:val="004E7B4C"/>
    <w:rsid w:val="00501D62"/>
    <w:rsid w:val="00506040"/>
    <w:rsid w:val="00512931"/>
    <w:rsid w:val="0051717B"/>
    <w:rsid w:val="00523278"/>
    <w:rsid w:val="00525F4A"/>
    <w:rsid w:val="00536E4B"/>
    <w:rsid w:val="00553280"/>
    <w:rsid w:val="0057215C"/>
    <w:rsid w:val="0058214F"/>
    <w:rsid w:val="005A67E6"/>
    <w:rsid w:val="005B5074"/>
    <w:rsid w:val="005D3994"/>
    <w:rsid w:val="005E10BE"/>
    <w:rsid w:val="005F1403"/>
    <w:rsid w:val="0061575F"/>
    <w:rsid w:val="0062744F"/>
    <w:rsid w:val="006756B7"/>
    <w:rsid w:val="006C404D"/>
    <w:rsid w:val="006E2E0F"/>
    <w:rsid w:val="006E472B"/>
    <w:rsid w:val="006E4D63"/>
    <w:rsid w:val="006F5487"/>
    <w:rsid w:val="0071039D"/>
    <w:rsid w:val="007230C4"/>
    <w:rsid w:val="0072521C"/>
    <w:rsid w:val="00747D68"/>
    <w:rsid w:val="0078479B"/>
    <w:rsid w:val="007B756C"/>
    <w:rsid w:val="008056EB"/>
    <w:rsid w:val="00825AA4"/>
    <w:rsid w:val="00845FCA"/>
    <w:rsid w:val="008544B2"/>
    <w:rsid w:val="00861FFB"/>
    <w:rsid w:val="00887C03"/>
    <w:rsid w:val="0089769F"/>
    <w:rsid w:val="008A4548"/>
    <w:rsid w:val="008A5A54"/>
    <w:rsid w:val="00920424"/>
    <w:rsid w:val="00951C03"/>
    <w:rsid w:val="009529D9"/>
    <w:rsid w:val="009565A0"/>
    <w:rsid w:val="0096022F"/>
    <w:rsid w:val="009611DF"/>
    <w:rsid w:val="00971BFC"/>
    <w:rsid w:val="00977E25"/>
    <w:rsid w:val="0098026B"/>
    <w:rsid w:val="009A17F5"/>
    <w:rsid w:val="009A1A56"/>
    <w:rsid w:val="009C3575"/>
    <w:rsid w:val="009C56E6"/>
    <w:rsid w:val="009E1D88"/>
    <w:rsid w:val="009F10ED"/>
    <w:rsid w:val="009F1525"/>
    <w:rsid w:val="00A05165"/>
    <w:rsid w:val="00A12DAA"/>
    <w:rsid w:val="00A4118B"/>
    <w:rsid w:val="00A42657"/>
    <w:rsid w:val="00A52842"/>
    <w:rsid w:val="00A60526"/>
    <w:rsid w:val="00A66B9E"/>
    <w:rsid w:val="00A7014E"/>
    <w:rsid w:val="00AA3448"/>
    <w:rsid w:val="00AF37C3"/>
    <w:rsid w:val="00AF5C60"/>
    <w:rsid w:val="00B06A2E"/>
    <w:rsid w:val="00B11CB5"/>
    <w:rsid w:val="00B25D38"/>
    <w:rsid w:val="00B62161"/>
    <w:rsid w:val="00B77FAF"/>
    <w:rsid w:val="00B84E53"/>
    <w:rsid w:val="00B91622"/>
    <w:rsid w:val="00B92CFF"/>
    <w:rsid w:val="00B96586"/>
    <w:rsid w:val="00BA58ED"/>
    <w:rsid w:val="00BD5E2B"/>
    <w:rsid w:val="00BF4040"/>
    <w:rsid w:val="00C2717E"/>
    <w:rsid w:val="00C31A16"/>
    <w:rsid w:val="00C35222"/>
    <w:rsid w:val="00C43F91"/>
    <w:rsid w:val="00C51872"/>
    <w:rsid w:val="00C54EF0"/>
    <w:rsid w:val="00C705C9"/>
    <w:rsid w:val="00C94118"/>
    <w:rsid w:val="00C946A0"/>
    <w:rsid w:val="00CA150E"/>
    <w:rsid w:val="00CA4CB7"/>
    <w:rsid w:val="00CA5FC2"/>
    <w:rsid w:val="00CE5756"/>
    <w:rsid w:val="00CE6809"/>
    <w:rsid w:val="00CF1E6C"/>
    <w:rsid w:val="00D047F1"/>
    <w:rsid w:val="00D25547"/>
    <w:rsid w:val="00D374AD"/>
    <w:rsid w:val="00D5439C"/>
    <w:rsid w:val="00D75724"/>
    <w:rsid w:val="00DA0715"/>
    <w:rsid w:val="00DA0F48"/>
    <w:rsid w:val="00DA25D6"/>
    <w:rsid w:val="00DA2B76"/>
    <w:rsid w:val="00DC32B8"/>
    <w:rsid w:val="00DC5585"/>
    <w:rsid w:val="00DD16E8"/>
    <w:rsid w:val="00DD6D6D"/>
    <w:rsid w:val="00DE7AB2"/>
    <w:rsid w:val="00DF0A5E"/>
    <w:rsid w:val="00E55047"/>
    <w:rsid w:val="00E55BB9"/>
    <w:rsid w:val="00E818FC"/>
    <w:rsid w:val="00E81D01"/>
    <w:rsid w:val="00E833B8"/>
    <w:rsid w:val="00E90B4E"/>
    <w:rsid w:val="00EB142B"/>
    <w:rsid w:val="00EB5153"/>
    <w:rsid w:val="00EC6A8E"/>
    <w:rsid w:val="00EF1B81"/>
    <w:rsid w:val="00F05FB1"/>
    <w:rsid w:val="00F249E3"/>
    <w:rsid w:val="00F62F2D"/>
    <w:rsid w:val="00F66FA6"/>
    <w:rsid w:val="00F7306F"/>
    <w:rsid w:val="00F731AF"/>
    <w:rsid w:val="00F90711"/>
    <w:rsid w:val="00FB564C"/>
    <w:rsid w:val="00FE4494"/>
    <w:rsid w:val="00FF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6568A5"/>
  <w15:chartTrackingRefBased/>
  <w15:docId w15:val="{131DE3CA-1BCA-43D9-865A-E0FDA163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BFC"/>
    <w:pPr>
      <w:ind w:left="720"/>
      <w:contextualSpacing/>
    </w:pPr>
  </w:style>
  <w:style w:type="character" w:styleId="Hyperlink">
    <w:name w:val="Hyperlink"/>
    <w:basedOn w:val="DefaultParagraphFont"/>
    <w:uiPriority w:val="99"/>
    <w:unhideWhenUsed/>
    <w:rsid w:val="0089769F"/>
    <w:rPr>
      <w:color w:val="0563C1" w:themeColor="hyperlink"/>
      <w:u w:val="single"/>
    </w:rPr>
  </w:style>
  <w:style w:type="character" w:styleId="UnresolvedMention">
    <w:name w:val="Unresolved Mention"/>
    <w:basedOn w:val="DefaultParagraphFont"/>
    <w:uiPriority w:val="99"/>
    <w:semiHidden/>
    <w:unhideWhenUsed/>
    <w:rsid w:val="0089769F"/>
    <w:rPr>
      <w:color w:val="808080"/>
      <w:shd w:val="clear" w:color="auto" w:fill="E6E6E6"/>
    </w:rPr>
  </w:style>
  <w:style w:type="character" w:styleId="CommentReference">
    <w:name w:val="annotation reference"/>
    <w:basedOn w:val="DefaultParagraphFont"/>
    <w:uiPriority w:val="99"/>
    <w:semiHidden/>
    <w:unhideWhenUsed/>
    <w:rsid w:val="00BD5E2B"/>
    <w:rPr>
      <w:sz w:val="16"/>
      <w:szCs w:val="16"/>
    </w:rPr>
  </w:style>
  <w:style w:type="paragraph" w:styleId="CommentText">
    <w:name w:val="annotation text"/>
    <w:basedOn w:val="Normal"/>
    <w:link w:val="CommentTextChar"/>
    <w:uiPriority w:val="99"/>
    <w:semiHidden/>
    <w:unhideWhenUsed/>
    <w:rsid w:val="00BD5E2B"/>
    <w:rPr>
      <w:sz w:val="20"/>
      <w:szCs w:val="20"/>
    </w:rPr>
  </w:style>
  <w:style w:type="character" w:customStyle="1" w:styleId="CommentTextChar">
    <w:name w:val="Comment Text Char"/>
    <w:basedOn w:val="DefaultParagraphFont"/>
    <w:link w:val="CommentText"/>
    <w:uiPriority w:val="99"/>
    <w:semiHidden/>
    <w:rsid w:val="00BD5E2B"/>
    <w:rPr>
      <w:sz w:val="20"/>
      <w:szCs w:val="20"/>
    </w:rPr>
  </w:style>
  <w:style w:type="paragraph" w:styleId="CommentSubject">
    <w:name w:val="annotation subject"/>
    <w:basedOn w:val="CommentText"/>
    <w:next w:val="CommentText"/>
    <w:link w:val="CommentSubjectChar"/>
    <w:uiPriority w:val="99"/>
    <w:semiHidden/>
    <w:unhideWhenUsed/>
    <w:rsid w:val="00BD5E2B"/>
    <w:rPr>
      <w:b/>
      <w:bCs/>
    </w:rPr>
  </w:style>
  <w:style w:type="character" w:customStyle="1" w:styleId="CommentSubjectChar">
    <w:name w:val="Comment Subject Char"/>
    <w:basedOn w:val="CommentTextChar"/>
    <w:link w:val="CommentSubject"/>
    <w:uiPriority w:val="99"/>
    <w:semiHidden/>
    <w:rsid w:val="00BD5E2B"/>
    <w:rPr>
      <w:b/>
      <w:bCs/>
      <w:sz w:val="20"/>
      <w:szCs w:val="20"/>
    </w:rPr>
  </w:style>
  <w:style w:type="paragraph" w:styleId="BalloonText">
    <w:name w:val="Balloon Text"/>
    <w:basedOn w:val="Normal"/>
    <w:link w:val="BalloonTextChar"/>
    <w:uiPriority w:val="99"/>
    <w:semiHidden/>
    <w:unhideWhenUsed/>
    <w:rsid w:val="00BD5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E2B"/>
    <w:rPr>
      <w:rFonts w:ascii="Segoe UI" w:hAnsi="Segoe UI" w:cs="Segoe UI"/>
      <w:sz w:val="18"/>
      <w:szCs w:val="18"/>
    </w:rPr>
  </w:style>
  <w:style w:type="paragraph" w:styleId="Header">
    <w:name w:val="header"/>
    <w:basedOn w:val="Normal"/>
    <w:link w:val="HeaderChar"/>
    <w:uiPriority w:val="99"/>
    <w:unhideWhenUsed/>
    <w:rsid w:val="00E90B4E"/>
    <w:pPr>
      <w:tabs>
        <w:tab w:val="center" w:pos="4680"/>
        <w:tab w:val="right" w:pos="9360"/>
      </w:tabs>
    </w:pPr>
  </w:style>
  <w:style w:type="character" w:customStyle="1" w:styleId="HeaderChar">
    <w:name w:val="Header Char"/>
    <w:basedOn w:val="DefaultParagraphFont"/>
    <w:link w:val="Header"/>
    <w:uiPriority w:val="99"/>
    <w:rsid w:val="00E90B4E"/>
  </w:style>
  <w:style w:type="paragraph" w:styleId="Footer">
    <w:name w:val="footer"/>
    <w:basedOn w:val="Normal"/>
    <w:link w:val="FooterChar"/>
    <w:uiPriority w:val="99"/>
    <w:unhideWhenUsed/>
    <w:rsid w:val="00E90B4E"/>
    <w:pPr>
      <w:tabs>
        <w:tab w:val="center" w:pos="4680"/>
        <w:tab w:val="right" w:pos="9360"/>
      </w:tabs>
    </w:pPr>
  </w:style>
  <w:style w:type="character" w:customStyle="1" w:styleId="FooterChar">
    <w:name w:val="Footer Char"/>
    <w:basedOn w:val="DefaultParagraphFont"/>
    <w:link w:val="Footer"/>
    <w:uiPriority w:val="99"/>
    <w:rsid w:val="00E9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653503">
      <w:bodyDiv w:val="1"/>
      <w:marLeft w:val="0"/>
      <w:marRight w:val="0"/>
      <w:marTop w:val="0"/>
      <w:marBottom w:val="0"/>
      <w:divBdr>
        <w:top w:val="none" w:sz="0" w:space="0" w:color="auto"/>
        <w:left w:val="none" w:sz="0" w:space="0" w:color="auto"/>
        <w:bottom w:val="none" w:sz="0" w:space="0" w:color="auto"/>
        <w:right w:val="none" w:sz="0" w:space="0" w:color="auto"/>
      </w:divBdr>
    </w:div>
    <w:div w:id="506554467">
      <w:bodyDiv w:val="1"/>
      <w:marLeft w:val="0"/>
      <w:marRight w:val="0"/>
      <w:marTop w:val="0"/>
      <w:marBottom w:val="0"/>
      <w:divBdr>
        <w:top w:val="none" w:sz="0" w:space="0" w:color="auto"/>
        <w:left w:val="none" w:sz="0" w:space="0" w:color="auto"/>
        <w:bottom w:val="none" w:sz="0" w:space="0" w:color="auto"/>
        <w:right w:val="none" w:sz="0" w:space="0" w:color="auto"/>
      </w:divBdr>
    </w:div>
    <w:div w:id="1731079612">
      <w:bodyDiv w:val="1"/>
      <w:marLeft w:val="0"/>
      <w:marRight w:val="0"/>
      <w:marTop w:val="0"/>
      <w:marBottom w:val="0"/>
      <w:divBdr>
        <w:top w:val="none" w:sz="0" w:space="0" w:color="auto"/>
        <w:left w:val="none" w:sz="0" w:space="0" w:color="auto"/>
        <w:bottom w:val="none" w:sz="0" w:space="0" w:color="auto"/>
        <w:right w:val="none" w:sz="0" w:space="0" w:color="auto"/>
      </w:divBdr>
    </w:div>
    <w:div w:id="17811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tha@lelo.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ttle.gov/Documents/Departments/FAS/PurchasingAndContracting/Labor/CAI-Apprenticeship-2017.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aborEquity@seattle.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Fulcher, Jeanne</dc:creator>
  <cp:keywords/>
  <dc:description/>
  <cp:lastModifiedBy>Tesfu, Julianna</cp:lastModifiedBy>
  <cp:revision>5</cp:revision>
  <cp:lastPrinted>2017-12-07T18:02:00Z</cp:lastPrinted>
  <dcterms:created xsi:type="dcterms:W3CDTF">2017-12-19T21:14:00Z</dcterms:created>
  <dcterms:modified xsi:type="dcterms:W3CDTF">2017-12-20T00:34:00Z</dcterms:modified>
</cp:coreProperties>
</file>