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BB36" w14:textId="2B8BB539" w:rsidR="00720DAB" w:rsidRDefault="00EF7390">
      <w:r w:rsidRPr="00EF7390">
        <w:rPr>
          <w:noProof/>
        </w:rPr>
        <w:drawing>
          <wp:anchor distT="0" distB="0" distL="114300" distR="114300" simplePos="0" relativeHeight="251661312" behindDoc="0" locked="0" layoutInCell="1" allowOverlap="1" wp14:anchorId="035AA349" wp14:editId="15E166A0">
            <wp:simplePos x="0" y="0"/>
            <wp:positionH relativeFrom="column">
              <wp:posOffset>-7620</wp:posOffset>
            </wp:positionH>
            <wp:positionV relativeFrom="paragraph">
              <wp:posOffset>10160</wp:posOffset>
            </wp:positionV>
            <wp:extent cx="1969770" cy="645795"/>
            <wp:effectExtent l="0" t="0" r="0" b="1905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0BA21F9-0CF2-426A-B89F-D6B9DBF8CA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B0BA21F9-0CF2-426A-B89F-D6B9DBF8CAB3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390">
        <w:rPr>
          <w:noProof/>
        </w:rPr>
        <w:drawing>
          <wp:anchor distT="0" distB="0" distL="114300" distR="114300" simplePos="0" relativeHeight="251660288" behindDoc="0" locked="0" layoutInCell="1" allowOverlap="1" wp14:anchorId="51C32D3A" wp14:editId="60CF9058">
            <wp:simplePos x="0" y="0"/>
            <wp:positionH relativeFrom="column">
              <wp:posOffset>2147570</wp:posOffset>
            </wp:positionH>
            <wp:positionV relativeFrom="paragraph">
              <wp:posOffset>0</wp:posOffset>
            </wp:positionV>
            <wp:extent cx="1524000" cy="655955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144A33C9-A453-458A-94A3-AAA2CC068E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144A33C9-A453-458A-94A3-AAA2CC068E35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390">
        <w:rPr>
          <w:noProof/>
        </w:rPr>
        <w:drawing>
          <wp:anchor distT="0" distB="0" distL="114300" distR="114300" simplePos="0" relativeHeight="251659264" behindDoc="0" locked="0" layoutInCell="1" allowOverlap="1" wp14:anchorId="633FEE65" wp14:editId="320D71A4">
            <wp:simplePos x="0" y="0"/>
            <wp:positionH relativeFrom="column">
              <wp:posOffset>4058285</wp:posOffset>
            </wp:positionH>
            <wp:positionV relativeFrom="paragraph">
              <wp:posOffset>10160</wp:posOffset>
            </wp:positionV>
            <wp:extent cx="1969844" cy="645919"/>
            <wp:effectExtent l="0" t="0" r="0" b="190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E476927-4E61-4F96-A5DF-856385B8BB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E476927-4E61-4F96-A5DF-856385B8BB08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844" cy="64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7D332" w14:textId="56DDF496" w:rsidR="00720DAB" w:rsidRDefault="00720DAB"/>
    <w:p w14:paraId="188B9EB5" w14:textId="77777777" w:rsidR="00EF7390" w:rsidRDefault="00EF7390"/>
    <w:p w14:paraId="1F40DCCC" w14:textId="77777777" w:rsidR="00EF7390" w:rsidRDefault="00EF7390"/>
    <w:p w14:paraId="79A5544E" w14:textId="77777777" w:rsidR="00EF7390" w:rsidRDefault="00EF7390"/>
    <w:p w14:paraId="5771AD78" w14:textId="77777777" w:rsidR="00EF7390" w:rsidRDefault="00EF7390"/>
    <w:p w14:paraId="2FF454FD" w14:textId="63FAB676" w:rsidR="00EF7390" w:rsidRPr="00824C00" w:rsidRDefault="00EF7390" w:rsidP="002534B0">
      <w:pPr>
        <w:jc w:val="center"/>
        <w:rPr>
          <w:b/>
          <w:bCs/>
          <w:sz w:val="28"/>
          <w:szCs w:val="28"/>
        </w:rPr>
      </w:pPr>
      <w:r w:rsidRPr="00824C00">
        <w:rPr>
          <w:b/>
          <w:bCs/>
          <w:sz w:val="28"/>
          <w:szCs w:val="28"/>
        </w:rPr>
        <w:t>Construction Recruitment, Training, Job Readiness &amp; Retention Services</w:t>
      </w:r>
    </w:p>
    <w:p w14:paraId="2436B76B" w14:textId="08E9E3F1" w:rsidR="00EF7390" w:rsidRPr="00824C00" w:rsidRDefault="00EF7390" w:rsidP="002534B0">
      <w:pPr>
        <w:jc w:val="center"/>
        <w:rPr>
          <w:b/>
          <w:bCs/>
          <w:sz w:val="28"/>
          <w:szCs w:val="28"/>
        </w:rPr>
      </w:pPr>
      <w:r w:rsidRPr="00824C00">
        <w:rPr>
          <w:b/>
          <w:bCs/>
          <w:sz w:val="28"/>
          <w:szCs w:val="28"/>
        </w:rPr>
        <w:t>Request for Proposals (RFP) FAS 2020-019</w:t>
      </w:r>
    </w:p>
    <w:p w14:paraId="0FDA3A18" w14:textId="7A08D605" w:rsidR="00EF7390" w:rsidRPr="00824C00" w:rsidRDefault="00EF7390" w:rsidP="002534B0">
      <w:pPr>
        <w:jc w:val="center"/>
        <w:rPr>
          <w:b/>
          <w:bCs/>
          <w:sz w:val="28"/>
          <w:szCs w:val="28"/>
        </w:rPr>
      </w:pPr>
      <w:r w:rsidRPr="00824C00">
        <w:rPr>
          <w:b/>
          <w:bCs/>
          <w:sz w:val="28"/>
          <w:szCs w:val="28"/>
        </w:rPr>
        <w:t>Q&amp;A</w:t>
      </w:r>
    </w:p>
    <w:p w14:paraId="3B15BA89" w14:textId="77777777" w:rsidR="00EF7390" w:rsidRDefault="00EF7390"/>
    <w:p w14:paraId="1BCCBEB9" w14:textId="13248A3F" w:rsidR="00EF7390" w:rsidRDefault="00532BF2">
      <w:pPr>
        <w:rPr>
          <w:b/>
          <w:bCs/>
          <w:i/>
          <w:iCs/>
        </w:rPr>
      </w:pPr>
      <w:r>
        <w:rPr>
          <w:b/>
          <w:bCs/>
          <w:i/>
          <w:iCs/>
        </w:rPr>
        <w:t>November 20, 2020</w:t>
      </w:r>
    </w:p>
    <w:p w14:paraId="7BD841A3" w14:textId="325B179B" w:rsidR="00532BF2" w:rsidRDefault="00532BF2">
      <w:pPr>
        <w:rPr>
          <w:b/>
          <w:bCs/>
          <w:i/>
          <w:iCs/>
        </w:rPr>
      </w:pPr>
    </w:p>
    <w:p w14:paraId="6BA565DB" w14:textId="2D474C40" w:rsidR="00532BF2" w:rsidRPr="00532BF2" w:rsidRDefault="00532BF2">
      <w:pPr>
        <w:rPr>
          <w:b/>
          <w:bCs/>
        </w:rPr>
      </w:pPr>
      <w:r>
        <w:rPr>
          <w:b/>
          <w:bCs/>
        </w:rPr>
        <w:t>Q1: Do people served have to live in an economically distressed ZIP code? Or can women and BIPOC individuals live outside of economically distressed ZIP codes?</w:t>
      </w:r>
    </w:p>
    <w:p w14:paraId="1D78CA72" w14:textId="77777777" w:rsidR="00532BF2" w:rsidRDefault="00532BF2">
      <w:r>
        <w:t>A: The RFP prioritizes:</w:t>
      </w:r>
    </w:p>
    <w:p w14:paraId="41DEE470" w14:textId="225C56EA" w:rsidR="00532BF2" w:rsidRDefault="00532BF2" w:rsidP="00532BF2">
      <w:pPr>
        <w:pStyle w:val="ListParagraph"/>
        <w:numPr>
          <w:ilvl w:val="0"/>
          <w:numId w:val="1"/>
        </w:numPr>
      </w:pPr>
      <w:r>
        <w:t xml:space="preserve">Residents of economically distressed ZIP codes </w:t>
      </w:r>
      <w:hyperlink r:id="rId10" w:history="1">
        <w:r w:rsidRPr="00362044">
          <w:rPr>
            <w:rStyle w:val="Hyperlink"/>
          </w:rPr>
          <w:t>as defined by the City</w:t>
        </w:r>
      </w:hyperlink>
      <w:r>
        <w:t xml:space="preserve">, and </w:t>
      </w:r>
    </w:p>
    <w:p w14:paraId="1BFD0D04" w14:textId="3D8DC77B" w:rsidR="00720DAB" w:rsidRDefault="00532BF2" w:rsidP="00532BF2">
      <w:pPr>
        <w:pStyle w:val="ListParagraph"/>
        <w:numPr>
          <w:ilvl w:val="0"/>
          <w:numId w:val="1"/>
        </w:numPr>
      </w:pPr>
      <w:r>
        <w:t>Women and BIPOC individuals, regardless of ZIP code.</w:t>
      </w:r>
    </w:p>
    <w:p w14:paraId="33E5CBF4" w14:textId="11CE279C" w:rsidR="00F477B4" w:rsidRDefault="00F477B4"/>
    <w:p w14:paraId="1527D94F" w14:textId="75B9859C" w:rsidR="00532BF2" w:rsidRPr="00532BF2" w:rsidRDefault="00532BF2">
      <w:pPr>
        <w:rPr>
          <w:b/>
          <w:bCs/>
        </w:rPr>
      </w:pPr>
      <w:r w:rsidRPr="00532BF2">
        <w:rPr>
          <w:b/>
          <w:bCs/>
        </w:rPr>
        <w:t xml:space="preserve">Q2: How would homeless individuals count toward </w:t>
      </w:r>
      <w:r>
        <w:rPr>
          <w:b/>
          <w:bCs/>
        </w:rPr>
        <w:t>the economically distressed ZIP code priority population</w:t>
      </w:r>
      <w:r w:rsidRPr="00532BF2">
        <w:rPr>
          <w:b/>
          <w:bCs/>
        </w:rPr>
        <w:t>?</w:t>
      </w:r>
    </w:p>
    <w:p w14:paraId="748C99D3" w14:textId="23F62E31" w:rsidR="00532BF2" w:rsidRDefault="00532BF2">
      <w:r>
        <w:t xml:space="preserve">A: Economically distressed ZIP codes is based on residence, though </w:t>
      </w:r>
      <w:r w:rsidR="00E45841">
        <w:t xml:space="preserve">it </w:t>
      </w:r>
      <w:r>
        <w:t xml:space="preserve">does not have to be a permanent address (such as those in temporary living situations). </w:t>
      </w:r>
      <w:r w:rsidR="00B84B1D" w:rsidRPr="00B84B1D">
        <w:t>An e</w:t>
      </w:r>
      <w:r w:rsidR="00E45841" w:rsidRPr="00B84B1D">
        <w:t>xample</w:t>
      </w:r>
      <w:r w:rsidR="00B84B1D" w:rsidRPr="00B84B1D">
        <w:t xml:space="preserve"> would be to use the</w:t>
      </w:r>
      <w:r w:rsidR="00E45841" w:rsidRPr="00B84B1D">
        <w:t xml:space="preserve"> ZIP code of </w:t>
      </w:r>
      <w:r w:rsidR="00B84B1D">
        <w:t xml:space="preserve">the </w:t>
      </w:r>
      <w:r w:rsidR="00E45841" w:rsidRPr="00B84B1D">
        <w:t>area</w:t>
      </w:r>
      <w:r w:rsidR="00B84B1D">
        <w:t xml:space="preserve"> the</w:t>
      </w:r>
      <w:r w:rsidR="00E45841" w:rsidRPr="00B84B1D">
        <w:t xml:space="preserve"> individual is located in</w:t>
      </w:r>
      <w:r w:rsidR="00B84B1D" w:rsidRPr="00B84B1D">
        <w:t>.</w:t>
      </w:r>
    </w:p>
    <w:p w14:paraId="32AA609C" w14:textId="058C903F" w:rsidR="00F477B4" w:rsidRDefault="00F477B4"/>
    <w:p w14:paraId="7C866BBE" w14:textId="09BF8937" w:rsidR="00532BF2" w:rsidRPr="00532BF2" w:rsidRDefault="00532BF2">
      <w:pPr>
        <w:rPr>
          <w:b/>
          <w:bCs/>
        </w:rPr>
      </w:pPr>
      <w:r w:rsidRPr="00532BF2">
        <w:rPr>
          <w:b/>
          <w:bCs/>
        </w:rPr>
        <w:t xml:space="preserve">Q3: Does the City have apprenticeship completion data disaggregated by race, </w:t>
      </w:r>
      <w:proofErr w:type="gramStart"/>
      <w:r w:rsidRPr="00532BF2">
        <w:rPr>
          <w:b/>
          <w:bCs/>
        </w:rPr>
        <w:t>gender</w:t>
      </w:r>
      <w:proofErr w:type="gramEnd"/>
      <w:r w:rsidRPr="00532BF2">
        <w:rPr>
          <w:b/>
          <w:bCs/>
        </w:rPr>
        <w:t xml:space="preserve"> and trade?</w:t>
      </w:r>
    </w:p>
    <w:p w14:paraId="13FFC8D1" w14:textId="1CEAAFCD" w:rsidR="00532BF2" w:rsidRDefault="00532BF2">
      <w:r>
        <w:t>A: The City issued a</w:t>
      </w:r>
      <w:r w:rsidR="00362044">
        <w:t xml:space="preserve"> construction</w:t>
      </w:r>
      <w:r>
        <w:t xml:space="preserve"> apprenticeship analysis with race and gender completion rates by trade in late 2016: </w:t>
      </w:r>
      <w:hyperlink r:id="rId11" w:history="1">
        <w:r w:rsidRPr="00D536CA">
          <w:rPr>
            <w:rStyle w:val="Hyperlink"/>
          </w:rPr>
          <w:t>http://www.seattle.gov/Documents/Departments/FAS/PurchasingAndContracting/Labor/CAI-Apprenticeship-2017.pdf</w:t>
        </w:r>
      </w:hyperlink>
    </w:p>
    <w:p w14:paraId="535BABFE" w14:textId="14C3F42F" w:rsidR="00532BF2" w:rsidRDefault="00532BF2"/>
    <w:p w14:paraId="3C7B6B8B" w14:textId="2A7CC51D" w:rsidR="00532BF2" w:rsidRDefault="00532BF2">
      <w:r>
        <w:t>In addition, Sound Transit recently issued a</w:t>
      </w:r>
      <w:r w:rsidR="00362044">
        <w:t xml:space="preserve"> </w:t>
      </w:r>
      <w:r>
        <w:t>retention report</w:t>
      </w:r>
      <w:r w:rsidR="00362044">
        <w:t xml:space="preserve"> that looked at disaggregated data throughout the first three years of construction apprenticeship</w:t>
      </w:r>
      <w:r w:rsidR="00BC047D">
        <w:t>. A link to the report will be provided soon.</w:t>
      </w:r>
    </w:p>
    <w:p w14:paraId="2E191CD3" w14:textId="430628EE" w:rsidR="00747F83" w:rsidRDefault="00747F83"/>
    <w:p w14:paraId="2EC2FDC3" w14:textId="7F189C85" w:rsidR="00747F83" w:rsidRPr="00362044" w:rsidRDefault="00362044">
      <w:pPr>
        <w:rPr>
          <w:b/>
          <w:bCs/>
        </w:rPr>
      </w:pPr>
      <w:r w:rsidRPr="00362044">
        <w:rPr>
          <w:b/>
          <w:bCs/>
        </w:rPr>
        <w:t>Q4: Can organizations submitting proposals be located outside King County?</w:t>
      </w:r>
    </w:p>
    <w:p w14:paraId="6E3986A9" w14:textId="50511348" w:rsidR="00362044" w:rsidRDefault="00362044">
      <w:r>
        <w:t>A: Yes.</w:t>
      </w:r>
      <w:r w:rsidR="00E45841">
        <w:t xml:space="preserve"> For example, if you are an organization located in Snohomish County you can submit a proposal.</w:t>
      </w:r>
    </w:p>
    <w:p w14:paraId="4FB2BAA2" w14:textId="16AEC3ED" w:rsidR="008E052C" w:rsidRDefault="008E052C"/>
    <w:p w14:paraId="44CCBA36" w14:textId="2B06C8F8" w:rsidR="00ED7DA5" w:rsidRPr="00362044" w:rsidRDefault="00362044">
      <w:pPr>
        <w:rPr>
          <w:b/>
          <w:bCs/>
        </w:rPr>
      </w:pPr>
      <w:r w:rsidRPr="00362044">
        <w:rPr>
          <w:b/>
          <w:bCs/>
        </w:rPr>
        <w:t>Q5: If an organization is submitting for more than one scope</w:t>
      </w:r>
      <w:r w:rsidR="00E45841">
        <w:rPr>
          <w:b/>
          <w:bCs/>
        </w:rPr>
        <w:t xml:space="preserve"> of work in the RFP</w:t>
      </w:r>
      <w:r w:rsidRPr="00362044">
        <w:rPr>
          <w:b/>
          <w:bCs/>
        </w:rPr>
        <w:t>, do they need multiple submittals?</w:t>
      </w:r>
    </w:p>
    <w:p w14:paraId="0C97B06C" w14:textId="5FCF2778" w:rsidR="00362044" w:rsidRDefault="00362044">
      <w:r>
        <w:t>A: They could submit one proposal for multiple</w:t>
      </w:r>
      <w:r w:rsidR="00E45841">
        <w:t xml:space="preserve"> scopes</w:t>
      </w:r>
      <w:r>
        <w:t xml:space="preserve">, so long as they’re clear what they’re responding to. They must clearly and separately answer proposal questions for </w:t>
      </w:r>
      <w:r w:rsidR="00E45841">
        <w:t>all the</w:t>
      </w:r>
      <w:r>
        <w:t xml:space="preserve"> scopes</w:t>
      </w:r>
      <w:r w:rsidR="00E45841">
        <w:t xml:space="preserve"> being applied to</w:t>
      </w:r>
      <w:r>
        <w:t>.</w:t>
      </w:r>
    </w:p>
    <w:p w14:paraId="4060FBDE" w14:textId="2F8AF49C" w:rsidR="00CC082F" w:rsidRDefault="00CC082F"/>
    <w:p w14:paraId="00D6E0D6" w14:textId="6379BF0C" w:rsidR="00362044" w:rsidRPr="00362044" w:rsidRDefault="00362044">
      <w:pPr>
        <w:rPr>
          <w:b/>
          <w:bCs/>
        </w:rPr>
      </w:pPr>
      <w:r w:rsidRPr="00362044">
        <w:rPr>
          <w:b/>
          <w:bCs/>
        </w:rPr>
        <w:t>Q6: Are economically distressed ZIP codes only located within Seattle?</w:t>
      </w:r>
    </w:p>
    <w:p w14:paraId="50A32A2B" w14:textId="310CE56A" w:rsidR="00362044" w:rsidRDefault="00362044">
      <w:r>
        <w:t>A: No, there are also economically distressed ZIP codes in King County</w:t>
      </w:r>
      <w:r w:rsidR="00E45841">
        <w:t>. You can see the City’s list of economically distressed ZIP codes below</w:t>
      </w:r>
      <w:r>
        <w:t xml:space="preserve">: </w:t>
      </w:r>
      <w:hyperlink r:id="rId12" w:history="1">
        <w:r w:rsidRPr="00D536CA">
          <w:rPr>
            <w:rStyle w:val="Hyperlink"/>
          </w:rPr>
          <w:t>http://www.seattle.gov/Documents/Departments/FAS/PurchasingAndContracting/Labor/Zip_Codes.pdf</w:t>
        </w:r>
      </w:hyperlink>
    </w:p>
    <w:p w14:paraId="1BE0F1AB" w14:textId="16CAE029" w:rsidR="00362044" w:rsidRDefault="00362044"/>
    <w:p w14:paraId="000646FC" w14:textId="725A6F74" w:rsidR="00362044" w:rsidRDefault="00362044">
      <w:r>
        <w:lastRenderedPageBreak/>
        <w:t>Proposers should note that the City of Seattle has a unique economically distressed ZIP code list, as its target areas slightly differ from other agencies with Priority Hire programs.</w:t>
      </w:r>
    </w:p>
    <w:p w14:paraId="557B8486" w14:textId="77777777" w:rsidR="00362044" w:rsidRDefault="00362044"/>
    <w:p w14:paraId="25FA6135" w14:textId="62AD5150" w:rsidR="00362044" w:rsidRPr="00362044" w:rsidRDefault="00362044">
      <w:pPr>
        <w:rPr>
          <w:b/>
          <w:bCs/>
        </w:rPr>
      </w:pPr>
      <w:r w:rsidRPr="00362044">
        <w:rPr>
          <w:b/>
          <w:bCs/>
        </w:rPr>
        <w:t xml:space="preserve">Q7: Is the information session </w:t>
      </w:r>
      <w:r w:rsidR="00E45841">
        <w:rPr>
          <w:b/>
          <w:bCs/>
        </w:rPr>
        <w:t>PowerPoint</w:t>
      </w:r>
      <w:r w:rsidRPr="00362044">
        <w:rPr>
          <w:b/>
          <w:bCs/>
        </w:rPr>
        <w:t xml:space="preserve"> available online?</w:t>
      </w:r>
    </w:p>
    <w:p w14:paraId="09BF19B8" w14:textId="65644D7D" w:rsidR="00E45841" w:rsidRDefault="00362044">
      <w:r>
        <w:t>A: Yes</w:t>
      </w:r>
      <w:r w:rsidR="00E45841">
        <w:t xml:space="preserve">, </w:t>
      </w:r>
      <w:r w:rsidR="00BF0548">
        <w:t>you can access the</w:t>
      </w:r>
      <w:r w:rsidR="00E45841">
        <w:t xml:space="preserve"> PowerPoint </w:t>
      </w:r>
      <w:r w:rsidR="00BF0548">
        <w:t xml:space="preserve">here: </w:t>
      </w:r>
      <w:hyperlink r:id="rId13" w:history="1">
        <w:r w:rsidR="00BC047D">
          <w:rPr>
            <w:rStyle w:val="Hyperlink"/>
          </w:rPr>
          <w:t>http://www.seattle.gov/Documents/Departments/FAS/PurchasingAndContracting/Labor/PH-RFP-info-session-presentation.pdf</w:t>
        </w:r>
      </w:hyperlink>
    </w:p>
    <w:p w14:paraId="5FA9908D" w14:textId="292E853F" w:rsidR="00BF0548" w:rsidRDefault="00BF0548" w:rsidP="00BF0548">
      <w:pPr>
        <w:spacing w:after="120"/>
      </w:pPr>
    </w:p>
    <w:p w14:paraId="70C1122B" w14:textId="545101ED" w:rsidR="00362044" w:rsidRPr="00362044" w:rsidRDefault="00362044" w:rsidP="00BF0548">
      <w:pPr>
        <w:rPr>
          <w:b/>
          <w:bCs/>
        </w:rPr>
      </w:pPr>
      <w:r w:rsidRPr="00362044">
        <w:rPr>
          <w:b/>
          <w:bCs/>
        </w:rPr>
        <w:t xml:space="preserve">Q8: What types of organizations can apply for </w:t>
      </w:r>
      <w:r w:rsidR="00CE3FCC">
        <w:rPr>
          <w:b/>
          <w:bCs/>
        </w:rPr>
        <w:t>S</w:t>
      </w:r>
      <w:r w:rsidRPr="00362044">
        <w:rPr>
          <w:b/>
          <w:bCs/>
        </w:rPr>
        <w:t>cope 3</w:t>
      </w:r>
      <w:r w:rsidR="00BF0548">
        <w:rPr>
          <w:b/>
          <w:bCs/>
        </w:rPr>
        <w:t xml:space="preserve"> in the RFP</w:t>
      </w:r>
      <w:r w:rsidRPr="00362044">
        <w:rPr>
          <w:b/>
          <w:bCs/>
        </w:rPr>
        <w:t>?</w:t>
      </w:r>
    </w:p>
    <w:p w14:paraId="24754639" w14:textId="03C164A7" w:rsidR="00362044" w:rsidRDefault="00362044" w:rsidP="00BF0548">
      <w:r>
        <w:t xml:space="preserve">A: Any organization can apply for </w:t>
      </w:r>
      <w:r w:rsidR="00CE3FCC">
        <w:t>S</w:t>
      </w:r>
      <w:r>
        <w:t xml:space="preserve">cope 3. The one exception is </w:t>
      </w:r>
      <w:r w:rsidR="00BF0548">
        <w:t xml:space="preserve">for </w:t>
      </w:r>
      <w:r>
        <w:t>pr</w:t>
      </w:r>
      <w:r w:rsidR="00CE3FCC">
        <w:t xml:space="preserve">e-apprenticeship training proposals, for which an organization would need to </w:t>
      </w:r>
      <w:r w:rsidR="00BF0548">
        <w:t xml:space="preserve">be </w:t>
      </w:r>
      <w:r w:rsidR="00CE3FCC">
        <w:t xml:space="preserve">a WSATC-recognized </w:t>
      </w:r>
      <w:r w:rsidR="00BF0548">
        <w:t>pre-apprenticeship</w:t>
      </w:r>
      <w:r w:rsidR="00CE3FCC">
        <w:t>.</w:t>
      </w:r>
    </w:p>
    <w:p w14:paraId="0C28260E" w14:textId="6F35E685" w:rsidR="00362044" w:rsidRDefault="00362044"/>
    <w:p w14:paraId="01D97EEC" w14:textId="7F7CF64E" w:rsidR="00CE3FCC" w:rsidRPr="00CE3FCC" w:rsidRDefault="00CE3FCC">
      <w:pPr>
        <w:rPr>
          <w:b/>
          <w:bCs/>
        </w:rPr>
      </w:pPr>
      <w:r w:rsidRPr="00CE3FCC">
        <w:rPr>
          <w:b/>
          <w:bCs/>
        </w:rPr>
        <w:t>Q9: Can community organizations that are not pre-apprenticeship programs help prepare individuals for pre-apprenticeship</w:t>
      </w:r>
      <w:r>
        <w:rPr>
          <w:b/>
          <w:bCs/>
        </w:rPr>
        <w:t xml:space="preserve"> or apprenticeship training</w:t>
      </w:r>
      <w:r w:rsidRPr="00CE3FCC">
        <w:rPr>
          <w:b/>
          <w:bCs/>
        </w:rPr>
        <w:t>?</w:t>
      </w:r>
    </w:p>
    <w:p w14:paraId="0DBA0221" w14:textId="3B7788BF" w:rsidR="00BF0548" w:rsidRDefault="00CE3FCC">
      <w:r>
        <w:t xml:space="preserve">A: Yes. </w:t>
      </w:r>
      <w:r w:rsidR="00BF0548">
        <w:t>As noted in question 8 above, a</w:t>
      </w:r>
      <w:r>
        <w:t>ny organization can apply for job readiness services under Scope 3</w:t>
      </w:r>
      <w:r w:rsidR="00BF0548">
        <w:t>. Some examples of job readiness services</w:t>
      </w:r>
      <w:r w:rsidR="00AD3C2F">
        <w:t xml:space="preserve"> organizations can propose</w:t>
      </w:r>
      <w:r w:rsidR="00BF0548">
        <w:t xml:space="preserve"> under Scope 3 </w:t>
      </w:r>
      <w:r w:rsidR="00AD3C2F">
        <w:t>include, but is not limited to</w:t>
      </w:r>
      <w:r w:rsidR="00BF0548">
        <w:t>:</w:t>
      </w:r>
    </w:p>
    <w:p w14:paraId="3AD48949" w14:textId="32E3BD3F" w:rsidR="00BF0548" w:rsidRDefault="00BF0548" w:rsidP="00BF0548">
      <w:pPr>
        <w:pStyle w:val="ListParagraph"/>
        <w:numPr>
          <w:ilvl w:val="0"/>
          <w:numId w:val="2"/>
        </w:numPr>
      </w:pPr>
      <w:r>
        <w:t>An organization offer</w:t>
      </w:r>
      <w:r w:rsidR="00AD3C2F">
        <w:t>ing</w:t>
      </w:r>
      <w:r w:rsidR="00CE3FCC">
        <w:t xml:space="preserve"> driver’s licens</w:t>
      </w:r>
      <w:r>
        <w:t>e services</w:t>
      </w:r>
      <w:r w:rsidR="00CE3FCC">
        <w:t xml:space="preserve"> </w:t>
      </w:r>
    </w:p>
    <w:p w14:paraId="0A3B64D8" w14:textId="2285C273" w:rsidR="00CE3FCC" w:rsidRDefault="00BF0548" w:rsidP="00BF0548">
      <w:pPr>
        <w:pStyle w:val="ListParagraph"/>
        <w:numPr>
          <w:ilvl w:val="0"/>
          <w:numId w:val="2"/>
        </w:numPr>
      </w:pPr>
      <w:r>
        <w:t>An organization offer</w:t>
      </w:r>
      <w:r w:rsidR="00AD3C2F">
        <w:t>ing</w:t>
      </w:r>
      <w:r>
        <w:t xml:space="preserve"> </w:t>
      </w:r>
      <w:r w:rsidR="00CE3FCC">
        <w:t>digital literacy training</w:t>
      </w:r>
    </w:p>
    <w:p w14:paraId="3C24EA1B" w14:textId="77777777" w:rsidR="00CE3FCC" w:rsidRDefault="00CE3FCC"/>
    <w:p w14:paraId="5DFD0D6C" w14:textId="09C6B5E6" w:rsidR="00264823" w:rsidRPr="00CE3FCC" w:rsidRDefault="00CE3FCC">
      <w:pPr>
        <w:rPr>
          <w:b/>
          <w:bCs/>
        </w:rPr>
      </w:pPr>
      <w:r w:rsidRPr="00CE3FCC">
        <w:rPr>
          <w:b/>
          <w:bCs/>
        </w:rPr>
        <w:t>Q10: What constitutes financial support services?</w:t>
      </w:r>
    </w:p>
    <w:p w14:paraId="79D5B509" w14:textId="77777777" w:rsidR="00AD3C2F" w:rsidRDefault="00CE3FCC">
      <w:r>
        <w:t xml:space="preserve">A: See </w:t>
      </w:r>
      <w:r w:rsidR="00AD3C2F">
        <w:t xml:space="preserve">the </w:t>
      </w:r>
      <w:r>
        <w:t xml:space="preserve">financial support service guidelines </w:t>
      </w:r>
      <w:r w:rsidR="00AD3C2F">
        <w:t>here:</w:t>
      </w:r>
    </w:p>
    <w:p w14:paraId="6113590E" w14:textId="7A0C4B62" w:rsidR="00CE3FCC" w:rsidRDefault="00BC047D" w:rsidP="00AD3C2F">
      <w:pPr>
        <w:spacing w:after="120"/>
      </w:pPr>
      <w:r>
        <w:object w:dxaOrig="2069" w:dyaOrig="1339" w14:anchorId="4427C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3.2pt;height:67.2pt" o:ole="">
            <v:imagedata r:id="rId14" o:title=""/>
          </v:shape>
          <o:OLEObject Type="Embed" ProgID="AcroExch.Document.DC" ShapeID="_x0000_i1032" DrawAspect="Icon" ObjectID="_1667383721" r:id="rId15"/>
        </w:object>
      </w:r>
      <w:r w:rsidR="00CE3FCC">
        <w:t xml:space="preserve"> </w:t>
      </w:r>
    </w:p>
    <w:p w14:paraId="51CEDBBA" w14:textId="7D388BCF" w:rsidR="00174841" w:rsidRPr="00CE3FCC" w:rsidRDefault="00CE3FCC" w:rsidP="00AD3C2F">
      <w:pPr>
        <w:rPr>
          <w:b/>
          <w:bCs/>
        </w:rPr>
      </w:pPr>
      <w:r w:rsidRPr="00CE3FCC">
        <w:rPr>
          <w:b/>
          <w:bCs/>
        </w:rPr>
        <w:t>Q11: Do individuals served under the RFP have to be pre-apprentices or apprentices?</w:t>
      </w:r>
    </w:p>
    <w:p w14:paraId="7D588958" w14:textId="32696A75" w:rsidR="00CE3FCC" w:rsidRDefault="00CE3FCC" w:rsidP="00AD3C2F">
      <w:r>
        <w:t xml:space="preserve">A: No. Proposals under Scope 1 can include journey workers. </w:t>
      </w:r>
      <w:r w:rsidR="00AD3C2F">
        <w:t xml:space="preserve">And </w:t>
      </w:r>
      <w:r>
        <w:t xml:space="preserve">Proposals under Scope 2 </w:t>
      </w:r>
      <w:r w:rsidR="00AD3C2F">
        <w:t xml:space="preserve">exclusively </w:t>
      </w:r>
      <w:r>
        <w:t>focus</w:t>
      </w:r>
      <w:r w:rsidR="00AD3C2F">
        <w:t>es</w:t>
      </w:r>
      <w:r>
        <w:t xml:space="preserve"> on individuals who are </w:t>
      </w:r>
      <w:r w:rsidRPr="00AD3C2F">
        <w:rPr>
          <w:u w:val="single"/>
        </w:rPr>
        <w:t>not</w:t>
      </w:r>
      <w:r>
        <w:t xml:space="preserve"> in construction</w:t>
      </w:r>
      <w:r w:rsidR="00AD3C2F">
        <w:t>, with the intention of recruiting individuals into construction.</w:t>
      </w:r>
    </w:p>
    <w:p w14:paraId="1DDFBD48" w14:textId="1E036FE8" w:rsidR="00E21446" w:rsidRDefault="00E21446"/>
    <w:p w14:paraId="04E8EBBB" w14:textId="501EF968" w:rsidR="005E6A6B" w:rsidRPr="005E6A6B" w:rsidRDefault="005E6A6B">
      <w:pPr>
        <w:rPr>
          <w:b/>
          <w:bCs/>
        </w:rPr>
      </w:pPr>
      <w:r w:rsidRPr="005E6A6B">
        <w:rPr>
          <w:b/>
          <w:bCs/>
        </w:rPr>
        <w:t>Q12: Can organizations submitting recruitment proposals under Scope 2 partner with pre-apprenticeship or apprenticeship programs to place people?</w:t>
      </w:r>
    </w:p>
    <w:p w14:paraId="4F52EC90" w14:textId="4B47994C" w:rsidR="005E6A6B" w:rsidRDefault="005E6A6B">
      <w:r>
        <w:t>A: Yes.</w:t>
      </w:r>
    </w:p>
    <w:p w14:paraId="57CDB99F" w14:textId="14D0DAFE" w:rsidR="00E21446" w:rsidRDefault="00E21446"/>
    <w:p w14:paraId="2B6E08B5" w14:textId="37B3D62F" w:rsidR="005E6A6B" w:rsidRPr="005E6A6B" w:rsidRDefault="005E6A6B">
      <w:pPr>
        <w:rPr>
          <w:b/>
          <w:bCs/>
        </w:rPr>
      </w:pPr>
      <w:r w:rsidRPr="005E6A6B">
        <w:rPr>
          <w:b/>
          <w:bCs/>
        </w:rPr>
        <w:t>Q13: Do pre-apprenticeship programs have to submit a proposal for recruitment under Scope 2 to find people to train in their Scope 3 proposal?</w:t>
      </w:r>
    </w:p>
    <w:p w14:paraId="045F8934" w14:textId="442D4326" w:rsidR="005E6A6B" w:rsidRDefault="005E6A6B">
      <w:r>
        <w:t>A: No. If pre-apprenticeship programs are submitting a proposal for pre-apprenticeship training under Scope 3, they can include programmatic recruitment activities</w:t>
      </w:r>
      <w:r w:rsidR="00AD3C2F">
        <w:t xml:space="preserve"> under </w:t>
      </w:r>
      <w:r w:rsidR="00455D95">
        <w:t>scope 3 as well</w:t>
      </w:r>
      <w:r>
        <w:t>.</w:t>
      </w:r>
    </w:p>
    <w:p w14:paraId="491A8239" w14:textId="77777777" w:rsidR="005E6A6B" w:rsidRDefault="005E6A6B"/>
    <w:p w14:paraId="6711ABBA" w14:textId="4CDCE3F9" w:rsidR="00756BDA" w:rsidRPr="005E6A6B" w:rsidRDefault="005E6A6B">
      <w:pPr>
        <w:rPr>
          <w:b/>
          <w:bCs/>
        </w:rPr>
      </w:pPr>
      <w:r w:rsidRPr="005E6A6B">
        <w:rPr>
          <w:b/>
          <w:bCs/>
        </w:rPr>
        <w:t>Q14: Does this RFP include manufacturing, or is it construction only?</w:t>
      </w:r>
    </w:p>
    <w:p w14:paraId="7AE0F4E5" w14:textId="664B64A5" w:rsidR="00EA6FC3" w:rsidRDefault="005E6A6B">
      <w:r>
        <w:t xml:space="preserve">A: It is only for construction. </w:t>
      </w:r>
    </w:p>
    <w:p w14:paraId="3FE1ACE2" w14:textId="7560ECA6" w:rsidR="003A2394" w:rsidRDefault="003A2394"/>
    <w:p w14:paraId="22638CED" w14:textId="672608A1" w:rsidR="005E6A6B" w:rsidRPr="005E6A6B" w:rsidRDefault="005E6A6B">
      <w:pPr>
        <w:rPr>
          <w:b/>
          <w:bCs/>
        </w:rPr>
      </w:pPr>
      <w:r w:rsidRPr="005E6A6B">
        <w:rPr>
          <w:b/>
          <w:bCs/>
        </w:rPr>
        <w:t xml:space="preserve">Q15: How long </w:t>
      </w:r>
      <w:r w:rsidR="00804C0D">
        <w:rPr>
          <w:b/>
          <w:bCs/>
        </w:rPr>
        <w:t xml:space="preserve">do </w:t>
      </w:r>
      <w:r w:rsidRPr="005E6A6B">
        <w:rPr>
          <w:b/>
          <w:bCs/>
        </w:rPr>
        <w:t>individuals need to be tracked for retention?</w:t>
      </w:r>
    </w:p>
    <w:p w14:paraId="165D0D62" w14:textId="0A902BC2" w:rsidR="005E6A6B" w:rsidRDefault="005E6A6B">
      <w:r>
        <w:t>A: Proposers should plan to track retention for the t</w:t>
      </w:r>
      <w:r w:rsidR="00804C0D">
        <w:t>erm</w:t>
      </w:r>
      <w:r>
        <w:t xml:space="preserve"> of the</w:t>
      </w:r>
      <w:r w:rsidR="00455D95">
        <w:t>ir</w:t>
      </w:r>
      <w:r>
        <w:t xml:space="preserve"> contract. Actual </w:t>
      </w:r>
      <w:r w:rsidR="00455D95">
        <w:t>length of retention tracking</w:t>
      </w:r>
      <w:r>
        <w:t xml:space="preserve"> will be negotiated in the contract.</w:t>
      </w:r>
    </w:p>
    <w:p w14:paraId="7F68F9C9" w14:textId="77777777" w:rsidR="003A2394" w:rsidRDefault="003A2394"/>
    <w:p w14:paraId="2143FA9B" w14:textId="75D7164C" w:rsidR="00A14F24" w:rsidRPr="005E6A6B" w:rsidRDefault="005E6A6B" w:rsidP="00AB28EC">
      <w:pPr>
        <w:tabs>
          <w:tab w:val="left" w:pos="1716"/>
        </w:tabs>
        <w:rPr>
          <w:b/>
          <w:bCs/>
        </w:rPr>
      </w:pPr>
      <w:r w:rsidRPr="005E6A6B">
        <w:rPr>
          <w:b/>
          <w:bCs/>
        </w:rPr>
        <w:t>Q16: Should proposers submit letters of support</w:t>
      </w:r>
      <w:r>
        <w:rPr>
          <w:b/>
          <w:bCs/>
        </w:rPr>
        <w:t xml:space="preserve"> from funders</w:t>
      </w:r>
      <w:r w:rsidRPr="005E6A6B">
        <w:rPr>
          <w:b/>
          <w:bCs/>
        </w:rPr>
        <w:t xml:space="preserve"> in addition to partnership documentation?</w:t>
      </w:r>
    </w:p>
    <w:p w14:paraId="75DA4832" w14:textId="50776808" w:rsidR="005E6A6B" w:rsidRDefault="005E6A6B" w:rsidP="00AB28EC">
      <w:pPr>
        <w:tabs>
          <w:tab w:val="left" w:pos="1716"/>
        </w:tabs>
      </w:pPr>
      <w:r>
        <w:t xml:space="preserve">A: No. Proposers should only include </w:t>
      </w:r>
      <w:r w:rsidR="00455D95">
        <w:t xml:space="preserve">the </w:t>
      </w:r>
      <w:r>
        <w:t>partnership documentation</w:t>
      </w:r>
      <w:r w:rsidR="00AC1411">
        <w:t xml:space="preserve"> </w:t>
      </w:r>
      <w:r>
        <w:t xml:space="preserve">that shows their relationships in the construction industry, or how they plan to build </w:t>
      </w:r>
      <w:r w:rsidR="00864903">
        <w:t>those relationships.</w:t>
      </w:r>
    </w:p>
    <w:p w14:paraId="7AA233E0" w14:textId="0471B279" w:rsidR="00891B7A" w:rsidRDefault="00891B7A" w:rsidP="00AB28EC">
      <w:pPr>
        <w:tabs>
          <w:tab w:val="left" w:pos="1716"/>
        </w:tabs>
      </w:pPr>
    </w:p>
    <w:p w14:paraId="39DC2ACC" w14:textId="77777777" w:rsidR="00864903" w:rsidRPr="00864903" w:rsidRDefault="00864903" w:rsidP="00AB28EC">
      <w:pPr>
        <w:tabs>
          <w:tab w:val="left" w:pos="1716"/>
        </w:tabs>
        <w:rPr>
          <w:b/>
          <w:bCs/>
        </w:rPr>
      </w:pPr>
      <w:r w:rsidRPr="00864903">
        <w:rPr>
          <w:b/>
          <w:bCs/>
        </w:rPr>
        <w:t xml:space="preserve">Q17: </w:t>
      </w:r>
      <w:r w:rsidR="00891B7A" w:rsidRPr="00864903">
        <w:rPr>
          <w:b/>
          <w:bCs/>
        </w:rPr>
        <w:t>Do proposal</w:t>
      </w:r>
      <w:r w:rsidRPr="00864903">
        <w:rPr>
          <w:b/>
          <w:bCs/>
        </w:rPr>
        <w:t>s</w:t>
      </w:r>
      <w:r w:rsidR="00891B7A" w:rsidRPr="00864903">
        <w:rPr>
          <w:b/>
          <w:bCs/>
        </w:rPr>
        <w:t xml:space="preserve"> have to be submitted via portal or email?</w:t>
      </w:r>
      <w:r w:rsidR="00BD5293" w:rsidRPr="00864903">
        <w:rPr>
          <w:b/>
          <w:bCs/>
        </w:rPr>
        <w:t xml:space="preserve"> </w:t>
      </w:r>
    </w:p>
    <w:p w14:paraId="7B3E4FF4" w14:textId="506D418C" w:rsidR="00891B7A" w:rsidRDefault="00864903" w:rsidP="00AB28EC">
      <w:pPr>
        <w:tabs>
          <w:tab w:val="left" w:pos="1716"/>
        </w:tabs>
      </w:pPr>
      <w:r>
        <w:t xml:space="preserve">Proposals need to be submitted via email to </w:t>
      </w:r>
      <w:hyperlink r:id="rId16" w:history="1">
        <w:r w:rsidRPr="00D536CA">
          <w:rPr>
            <w:rStyle w:val="Hyperlink"/>
          </w:rPr>
          <w:t>Julianna.Tesfu@seattle.gov</w:t>
        </w:r>
      </w:hyperlink>
      <w:r>
        <w:t xml:space="preserve"> by 11:59 p.m. (PST) December 18, 2020.</w:t>
      </w:r>
    </w:p>
    <w:p w14:paraId="330AF736" w14:textId="46BAB2C0" w:rsidR="00BD5293" w:rsidRDefault="00BD5293" w:rsidP="00AB28EC">
      <w:pPr>
        <w:tabs>
          <w:tab w:val="left" w:pos="1716"/>
        </w:tabs>
      </w:pPr>
    </w:p>
    <w:p w14:paraId="50CE892E" w14:textId="1901674A" w:rsidR="001C7E80" w:rsidRPr="00864903" w:rsidRDefault="00864903" w:rsidP="00AB28EC">
      <w:pPr>
        <w:tabs>
          <w:tab w:val="left" w:pos="1716"/>
        </w:tabs>
        <w:rPr>
          <w:b/>
          <w:bCs/>
        </w:rPr>
      </w:pPr>
      <w:r w:rsidRPr="00864903">
        <w:rPr>
          <w:b/>
          <w:bCs/>
        </w:rPr>
        <w:t>Q18: Does the City have a list of contract allowable/unallowable costs?</w:t>
      </w:r>
    </w:p>
    <w:p w14:paraId="65E4495D" w14:textId="7F9F68AF" w:rsidR="00864903" w:rsidRDefault="00864903" w:rsidP="00AB28EC">
      <w:pPr>
        <w:tabs>
          <w:tab w:val="left" w:pos="1716"/>
        </w:tabs>
      </w:pPr>
      <w:r>
        <w:t>Yes.</w:t>
      </w:r>
      <w:r w:rsidR="00AC1411">
        <w:t xml:space="preserve"> You can find them here: </w:t>
      </w:r>
    </w:p>
    <w:p w14:paraId="217FEB86" w14:textId="1A750973" w:rsidR="00AC1411" w:rsidRDefault="00BC047D" w:rsidP="00AB28EC">
      <w:pPr>
        <w:tabs>
          <w:tab w:val="left" w:pos="1716"/>
        </w:tabs>
      </w:pPr>
      <w:r>
        <w:object w:dxaOrig="2069" w:dyaOrig="1339" w14:anchorId="219A3027">
          <v:shape id="_x0000_i1030" type="#_x0000_t75" style="width:103.2pt;height:67.2pt" o:ole="">
            <v:imagedata r:id="rId17" o:title=""/>
          </v:shape>
          <o:OLEObject Type="Embed" ProgID="AcroExch.Document.DC" ShapeID="_x0000_i1030" DrawAspect="Icon" ObjectID="_1667383722" r:id="rId18"/>
        </w:object>
      </w:r>
    </w:p>
    <w:p w14:paraId="04B39FAF" w14:textId="6F732B7E" w:rsidR="001C7E80" w:rsidRPr="00AB28EC" w:rsidRDefault="001C7E80" w:rsidP="00AB28EC">
      <w:pPr>
        <w:tabs>
          <w:tab w:val="left" w:pos="1716"/>
        </w:tabs>
      </w:pPr>
    </w:p>
    <w:sectPr w:rsidR="001C7E80" w:rsidRPr="00AB28EC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D580A" w14:textId="77777777" w:rsidR="00864903" w:rsidRDefault="00864903" w:rsidP="00864903">
      <w:r>
        <w:separator/>
      </w:r>
    </w:p>
  </w:endnote>
  <w:endnote w:type="continuationSeparator" w:id="0">
    <w:p w14:paraId="629F1CB7" w14:textId="77777777" w:rsidR="00864903" w:rsidRDefault="00864903" w:rsidP="0086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6666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2CB83" w14:textId="50B922AA" w:rsidR="00864903" w:rsidRDefault="00864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7C808" w14:textId="34A6E1B2" w:rsidR="00864903" w:rsidRDefault="00864903">
    <w:pPr>
      <w:pStyle w:val="Footer"/>
    </w:pPr>
    <w:r>
      <w:t>11/20/20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015D5" w14:textId="77777777" w:rsidR="00864903" w:rsidRDefault="00864903" w:rsidP="00864903">
      <w:r>
        <w:separator/>
      </w:r>
    </w:p>
  </w:footnote>
  <w:footnote w:type="continuationSeparator" w:id="0">
    <w:p w14:paraId="7DB43503" w14:textId="77777777" w:rsidR="00864903" w:rsidRDefault="00864903" w:rsidP="0086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86747"/>
    <w:multiLevelType w:val="hybridMultilevel"/>
    <w:tmpl w:val="B7D62EC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FA695D"/>
    <w:multiLevelType w:val="hybridMultilevel"/>
    <w:tmpl w:val="B93A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46"/>
    <w:rsid w:val="00037398"/>
    <w:rsid w:val="00041CE7"/>
    <w:rsid w:val="000933B2"/>
    <w:rsid w:val="000F175B"/>
    <w:rsid w:val="00163AFC"/>
    <w:rsid w:val="0016446C"/>
    <w:rsid w:val="00174841"/>
    <w:rsid w:val="00192267"/>
    <w:rsid w:val="001B5470"/>
    <w:rsid w:val="001C7E80"/>
    <w:rsid w:val="002277BB"/>
    <w:rsid w:val="002534B0"/>
    <w:rsid w:val="00254C4B"/>
    <w:rsid w:val="002625D9"/>
    <w:rsid w:val="00264823"/>
    <w:rsid w:val="0027183A"/>
    <w:rsid w:val="002762AE"/>
    <w:rsid w:val="002B0FEC"/>
    <w:rsid w:val="002D07C6"/>
    <w:rsid w:val="002F36A1"/>
    <w:rsid w:val="00362044"/>
    <w:rsid w:val="003A2394"/>
    <w:rsid w:val="003D270A"/>
    <w:rsid w:val="00455D95"/>
    <w:rsid w:val="00493328"/>
    <w:rsid w:val="004A2F1E"/>
    <w:rsid w:val="004A4C62"/>
    <w:rsid w:val="004A7947"/>
    <w:rsid w:val="004E07A2"/>
    <w:rsid w:val="004E7D22"/>
    <w:rsid w:val="00515B33"/>
    <w:rsid w:val="00532BF2"/>
    <w:rsid w:val="00533FEF"/>
    <w:rsid w:val="00563AE2"/>
    <w:rsid w:val="005D47EB"/>
    <w:rsid w:val="005E6A6B"/>
    <w:rsid w:val="00620F57"/>
    <w:rsid w:val="006806DA"/>
    <w:rsid w:val="00720DAB"/>
    <w:rsid w:val="00747F83"/>
    <w:rsid w:val="0075144D"/>
    <w:rsid w:val="00754F02"/>
    <w:rsid w:val="00756BDA"/>
    <w:rsid w:val="00784A61"/>
    <w:rsid w:val="007E7B6E"/>
    <w:rsid w:val="00804C0D"/>
    <w:rsid w:val="00824C00"/>
    <w:rsid w:val="00850B25"/>
    <w:rsid w:val="00852047"/>
    <w:rsid w:val="008558EB"/>
    <w:rsid w:val="00864903"/>
    <w:rsid w:val="00883843"/>
    <w:rsid w:val="00891B7A"/>
    <w:rsid w:val="008C46D4"/>
    <w:rsid w:val="008D7E8F"/>
    <w:rsid w:val="008E052C"/>
    <w:rsid w:val="009016B3"/>
    <w:rsid w:val="009418FE"/>
    <w:rsid w:val="00A039BE"/>
    <w:rsid w:val="00A14F24"/>
    <w:rsid w:val="00A96A46"/>
    <w:rsid w:val="00AA4AB4"/>
    <w:rsid w:val="00AB28EC"/>
    <w:rsid w:val="00AC1411"/>
    <w:rsid w:val="00AD3C2F"/>
    <w:rsid w:val="00B300C2"/>
    <w:rsid w:val="00B36948"/>
    <w:rsid w:val="00B833E7"/>
    <w:rsid w:val="00B84B1D"/>
    <w:rsid w:val="00BC047D"/>
    <w:rsid w:val="00BC1CF7"/>
    <w:rsid w:val="00BD5293"/>
    <w:rsid w:val="00BF0548"/>
    <w:rsid w:val="00C063A2"/>
    <w:rsid w:val="00CA3D15"/>
    <w:rsid w:val="00CC082F"/>
    <w:rsid w:val="00CC2D75"/>
    <w:rsid w:val="00CE3FCC"/>
    <w:rsid w:val="00D03BFB"/>
    <w:rsid w:val="00D12A2C"/>
    <w:rsid w:val="00D13B8F"/>
    <w:rsid w:val="00D502B8"/>
    <w:rsid w:val="00D65EAB"/>
    <w:rsid w:val="00D83B3C"/>
    <w:rsid w:val="00E02F96"/>
    <w:rsid w:val="00E21446"/>
    <w:rsid w:val="00E2188F"/>
    <w:rsid w:val="00E45841"/>
    <w:rsid w:val="00E70383"/>
    <w:rsid w:val="00E85F76"/>
    <w:rsid w:val="00EA6FC3"/>
    <w:rsid w:val="00ED7DA5"/>
    <w:rsid w:val="00EF7390"/>
    <w:rsid w:val="00F14903"/>
    <w:rsid w:val="00F15906"/>
    <w:rsid w:val="00F477B4"/>
    <w:rsid w:val="00F95E7D"/>
    <w:rsid w:val="00FA1985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9BC989"/>
  <w15:chartTrackingRefBased/>
  <w15:docId w15:val="{CB682607-1DFB-4FA3-90E2-AE38557B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2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B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B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903"/>
  </w:style>
  <w:style w:type="paragraph" w:styleId="Footer">
    <w:name w:val="footer"/>
    <w:basedOn w:val="Normal"/>
    <w:link w:val="FooterChar"/>
    <w:uiPriority w:val="99"/>
    <w:unhideWhenUsed/>
    <w:rsid w:val="00864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seattle.gov/Documents/Departments/FAS/PurchasingAndContracting/Labor/PH-RFP-info-session-presentation.pdf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seattle.gov/Documents/Departments/FAS/PurchasingAndContracting/Labor/Zip_Codes.pdf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hyperlink" Target="mailto:Julianna.Tesfu@seattle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ttle.gov/Documents/Departments/FAS/PurchasingAndContracting/Labor/CAI-Apprenticeship-2017.pdf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seattle.gov/Documents/Departments/FAS/PurchasingAndContracting/Labor/Zip_Codes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Fulcher, Jeanne</dc:creator>
  <cp:keywords/>
  <dc:description/>
  <cp:lastModifiedBy>Fulcher, Jeanne</cp:lastModifiedBy>
  <cp:revision>10</cp:revision>
  <dcterms:created xsi:type="dcterms:W3CDTF">2020-11-20T00:49:00Z</dcterms:created>
  <dcterms:modified xsi:type="dcterms:W3CDTF">2020-11-20T21:22:00Z</dcterms:modified>
</cp:coreProperties>
</file>