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DB" w:rsidRDefault="000B1976" w:rsidP="000B1976">
      <w:pPr>
        <w:spacing w:after="0"/>
        <w:jc w:val="center"/>
        <w:rPr>
          <w:sz w:val="28"/>
          <w:szCs w:val="28"/>
        </w:rPr>
      </w:pPr>
      <w:r>
        <w:rPr>
          <w:sz w:val="28"/>
          <w:szCs w:val="28"/>
        </w:rPr>
        <w:t xml:space="preserve">Operating Board </w:t>
      </w:r>
    </w:p>
    <w:p w:rsidR="000B1976" w:rsidRDefault="000B1976" w:rsidP="000B1976">
      <w:pPr>
        <w:spacing w:after="0"/>
        <w:jc w:val="center"/>
        <w:rPr>
          <w:sz w:val="28"/>
          <w:szCs w:val="28"/>
        </w:rPr>
      </w:pPr>
      <w:r>
        <w:rPr>
          <w:sz w:val="28"/>
          <w:szCs w:val="28"/>
        </w:rPr>
        <w:t>Wholesale Rate Study 101</w:t>
      </w:r>
    </w:p>
    <w:p w:rsidR="000B1976" w:rsidRDefault="000B1976" w:rsidP="000B1976">
      <w:pPr>
        <w:jc w:val="center"/>
        <w:rPr>
          <w:sz w:val="28"/>
          <w:szCs w:val="28"/>
        </w:rPr>
      </w:pPr>
      <w:r>
        <w:rPr>
          <w:sz w:val="28"/>
          <w:szCs w:val="28"/>
        </w:rPr>
        <w:t>Tabled Topics</w:t>
      </w:r>
    </w:p>
    <w:p w:rsidR="0088594A" w:rsidRDefault="0088594A" w:rsidP="009A6679">
      <w:pPr>
        <w:pStyle w:val="NoSpacing"/>
      </w:pPr>
    </w:p>
    <w:p w:rsidR="000D188F" w:rsidRPr="000D188F" w:rsidRDefault="006E2BD4" w:rsidP="006E2BD4">
      <w:pPr>
        <w:spacing w:line="240" w:lineRule="auto"/>
      </w:pPr>
      <w:r>
        <w:rPr>
          <w:b/>
          <w:u w:val="single"/>
        </w:rPr>
        <w:t xml:space="preserve">How are consumption and revenue adjustments </w:t>
      </w:r>
      <w:r w:rsidR="0008515A">
        <w:rPr>
          <w:b/>
          <w:u w:val="single"/>
        </w:rPr>
        <w:t xml:space="preserve">for prior years </w:t>
      </w:r>
      <w:r>
        <w:rPr>
          <w:b/>
          <w:u w:val="single"/>
        </w:rPr>
        <w:t xml:space="preserve">included in the rate study?  </w:t>
      </w:r>
      <w:r w:rsidR="000D188F" w:rsidRPr="006E2BD4">
        <w:rPr>
          <w:u w:val="single"/>
        </w:rPr>
        <w:t xml:space="preserve">  </w:t>
      </w:r>
    </w:p>
    <w:p w:rsidR="00232D13" w:rsidRDefault="00232D13" w:rsidP="00394960">
      <w:pPr>
        <w:spacing w:line="240" w:lineRule="auto"/>
        <w:ind w:left="432"/>
        <w:rPr>
          <w:i/>
        </w:rPr>
      </w:pPr>
      <w:r>
        <w:rPr>
          <w:i/>
        </w:rPr>
        <w:t xml:space="preserve">Once an adjustment is finalized, it is </w:t>
      </w:r>
      <w:r w:rsidR="006E2BD4">
        <w:rPr>
          <w:i/>
        </w:rPr>
        <w:t xml:space="preserve">captured during the true </w:t>
      </w:r>
      <w:r w:rsidR="002E0202">
        <w:rPr>
          <w:i/>
        </w:rPr>
        <w:t xml:space="preserve">up </w:t>
      </w:r>
      <w:r w:rsidR="001C2528">
        <w:rPr>
          <w:i/>
        </w:rPr>
        <w:t xml:space="preserve">process </w:t>
      </w:r>
      <w:r w:rsidR="006E2BD4">
        <w:rPr>
          <w:i/>
        </w:rPr>
        <w:t>and affect</w:t>
      </w:r>
      <w:r>
        <w:rPr>
          <w:i/>
        </w:rPr>
        <w:t>s</w:t>
      </w:r>
      <w:r w:rsidR="006E2BD4">
        <w:rPr>
          <w:i/>
        </w:rPr>
        <w:t xml:space="preserve"> the projected 2014 year-end balance that is the starting point for the 2015-2017 rate study.</w:t>
      </w:r>
      <w:r>
        <w:rPr>
          <w:i/>
        </w:rPr>
        <w:t xml:space="preserve">  </w:t>
      </w:r>
    </w:p>
    <w:p w:rsidR="00B33914" w:rsidRDefault="006E317C" w:rsidP="00394960">
      <w:pPr>
        <w:spacing w:line="240" w:lineRule="auto"/>
        <w:ind w:left="432"/>
        <w:rPr>
          <w:i/>
        </w:rPr>
      </w:pPr>
      <w:r>
        <w:rPr>
          <w:i/>
        </w:rPr>
        <w:t xml:space="preserve">The adjustment is a two-step process since </w:t>
      </w:r>
      <w:r w:rsidR="00B33914">
        <w:rPr>
          <w:i/>
        </w:rPr>
        <w:t>Seattle’s consumption as a wholesale customer (in other words, the consumption of Seattle’s distribution system rather than the retail sales to its customers) depends on wholesale metered consumption.</w:t>
      </w:r>
      <w:r>
        <w:rPr>
          <w:i/>
        </w:rPr>
        <w:t xml:space="preserve"> </w:t>
      </w:r>
      <w:r w:rsidR="00B33914">
        <w:rPr>
          <w:i/>
        </w:rPr>
        <w:t xml:space="preserve"> </w:t>
      </w:r>
      <w:r w:rsidR="00394960">
        <w:rPr>
          <w:i/>
        </w:rPr>
        <w:t>From the contracts</w:t>
      </w:r>
      <w:r w:rsidR="00231037">
        <w:rPr>
          <w:i/>
        </w:rPr>
        <w:t>:</w:t>
      </w:r>
      <w:r w:rsidR="00B33914">
        <w:rPr>
          <w:i/>
        </w:rPr>
        <w:t xml:space="preserve">  </w:t>
      </w:r>
    </w:p>
    <w:p w:rsidR="00394960" w:rsidRPr="00394960" w:rsidRDefault="00394960" w:rsidP="00394960">
      <w:pPr>
        <w:pStyle w:val="NoSpacing"/>
        <w:ind w:left="288" w:firstLine="720"/>
        <w:rPr>
          <w:b/>
        </w:rPr>
      </w:pPr>
      <w:r w:rsidRPr="00394960">
        <w:rPr>
          <w:b/>
        </w:rPr>
        <w:t>III</w:t>
      </w:r>
      <w:proofErr w:type="gramStart"/>
      <w:r w:rsidRPr="00394960">
        <w:rPr>
          <w:b/>
        </w:rPr>
        <w:t>.  E</w:t>
      </w:r>
      <w:proofErr w:type="gramEnd"/>
      <w:r w:rsidRPr="00394960">
        <w:rPr>
          <w:b/>
        </w:rPr>
        <w:t xml:space="preserve"> Metering Equipment</w:t>
      </w:r>
    </w:p>
    <w:p w:rsidR="002E0202" w:rsidRDefault="00394960" w:rsidP="00002927">
      <w:pPr>
        <w:spacing w:line="240" w:lineRule="auto"/>
        <w:ind w:left="1008" w:right="288"/>
      </w:pPr>
      <w:r>
        <w:t>….</w:t>
      </w:r>
      <w:r w:rsidR="00002927" w:rsidRPr="00DD4E4A">
        <w:t>Until such time as Seattle determines it to be economical to install metering devices to measure the amount of water delivered from the Seattle Regional Water Supply System to the Seattle Retail Distribution System, the amount of water delivered to the Seattle Retail Distribution System shall be measured indirectly by subtracting the metered water delivered to all of Seattle’s wholesale customers from 98% of the total amount of water exiting Seattle’s sources of supply as measured by the supply meters.</w:t>
      </w:r>
    </w:p>
    <w:p w:rsidR="009A6679" w:rsidRDefault="009A6679" w:rsidP="009A6679">
      <w:pPr>
        <w:pStyle w:val="NoSpacing"/>
      </w:pPr>
    </w:p>
    <w:p w:rsidR="00002927" w:rsidRDefault="004606D3" w:rsidP="004606D3">
      <w:pPr>
        <w:spacing w:line="240" w:lineRule="auto"/>
        <w:ind w:left="432"/>
        <w:rPr>
          <w:i/>
        </w:rPr>
      </w:pPr>
      <w:r>
        <w:rPr>
          <w:i/>
        </w:rPr>
        <w:t>Showing this as a diagram:</w:t>
      </w:r>
    </w:p>
    <w:p w:rsidR="002E0202" w:rsidRPr="005B76DB" w:rsidRDefault="0088594A" w:rsidP="00852B46">
      <w:pPr>
        <w:spacing w:line="240" w:lineRule="auto"/>
        <w:jc w:val="center"/>
        <w:rPr>
          <w:b/>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4445</wp:posOffset>
                </wp:positionV>
                <wp:extent cx="5229225" cy="390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229225" cy="3905250"/>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8.5pt;margin-top:.35pt;width:4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" filled="f" strokecolor="#1f497d [3215]" strokeweight="1pt"/>
            </w:pict>
          </mc:Fallback>
        </mc:AlternateContent>
      </w:r>
      <w:r>
        <w:rPr>
          <w:b/>
          <w:noProof/>
          <w:u w:val="single"/>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07.5pt" o:ole="">
            <v:imagedata r:id="rId8" o:title=""/>
          </v:shape>
          <o:OLEObject Type="Embed" ProgID="PowerPoint.Slide.12" ShapeID="_x0000_i1025" DrawAspect="Content" ObjectID="_1463458525" r:id="rId9"/>
        </w:object>
      </w:r>
    </w:p>
    <w:p w:rsidR="000308E6" w:rsidRPr="000308E6" w:rsidRDefault="000308E6" w:rsidP="00226D56">
      <w:pPr>
        <w:spacing w:line="240" w:lineRule="auto"/>
        <w:ind w:left="432"/>
        <w:rPr>
          <w:i/>
          <w:u w:val="single"/>
        </w:rPr>
      </w:pPr>
      <w:r w:rsidRPr="000308E6">
        <w:rPr>
          <w:i/>
          <w:u w:val="single"/>
        </w:rPr>
        <w:lastRenderedPageBreak/>
        <w:t>Example</w:t>
      </w:r>
    </w:p>
    <w:p w:rsidR="000308E6" w:rsidRDefault="00293E44" w:rsidP="00226D56">
      <w:pPr>
        <w:spacing w:line="240" w:lineRule="auto"/>
        <w:ind w:left="432"/>
        <w:rPr>
          <w:i/>
        </w:rPr>
      </w:pPr>
      <w:r>
        <w:rPr>
          <w:i/>
        </w:rPr>
        <w:t>The first step occurs outside of the true up process.</w:t>
      </w:r>
      <w:r w:rsidR="00E240F1">
        <w:rPr>
          <w:i/>
        </w:rPr>
        <w:t xml:space="preserve">  Reviewing the </w:t>
      </w:r>
      <w:r w:rsidR="00FF61F8">
        <w:rPr>
          <w:i/>
        </w:rPr>
        <w:t xml:space="preserve">consumption adjustment procedure </w:t>
      </w:r>
      <w:r>
        <w:rPr>
          <w:i/>
        </w:rPr>
        <w:t xml:space="preserve">at a high level, the adjustment </w:t>
      </w:r>
      <w:r w:rsidR="003F0908">
        <w:rPr>
          <w:i/>
        </w:rPr>
        <w:t xml:space="preserve">to a specific customer </w:t>
      </w:r>
      <w:r>
        <w:rPr>
          <w:i/>
        </w:rPr>
        <w:t xml:space="preserve">is based on the difference between SPU Billed Water and SPU Delivered Water.  SPU Delivered Water is based on the formula: </w:t>
      </w:r>
    </w:p>
    <w:p w:rsidR="00E068D2" w:rsidRDefault="00E068D2" w:rsidP="00E068D2">
      <w:pPr>
        <w:pStyle w:val="NoSpacing"/>
      </w:pPr>
    </w:p>
    <w:p w:rsidR="00293E44" w:rsidRDefault="00293E44" w:rsidP="00212934">
      <w:pPr>
        <w:pStyle w:val="NoSpacing"/>
        <w:jc w:val="center"/>
      </w:pPr>
      <w:r w:rsidRPr="00293E44">
        <w:t xml:space="preserve">SPU Delivered </w:t>
      </w:r>
      <w:r>
        <w:t>Water =</w:t>
      </w:r>
      <w:r w:rsidR="001D560E">
        <w:t xml:space="preserve">  </w:t>
      </w:r>
      <w:r w:rsidR="00212934">
        <w:t xml:space="preserve"> </w:t>
      </w:r>
      <w:r w:rsidR="00212934" w:rsidRPr="00212934">
        <w:rPr>
          <w:u w:val="single"/>
        </w:rPr>
        <w:t>Sales to Customers</w:t>
      </w:r>
      <w:r>
        <w:t xml:space="preserve"> </w:t>
      </w:r>
      <w:r w:rsidR="001D560E">
        <w:t xml:space="preserve"> </w:t>
      </w:r>
      <w:r>
        <w:t xml:space="preserve">- </w:t>
      </w:r>
      <w:r w:rsidR="001D560E">
        <w:t xml:space="preserve"> </w:t>
      </w:r>
      <w:r>
        <w:t>Other Water Sources</w:t>
      </w:r>
    </w:p>
    <w:p w:rsidR="00212934" w:rsidRPr="00293E44" w:rsidRDefault="00212934" w:rsidP="00212934">
      <w:pPr>
        <w:pStyle w:val="NoSpacing"/>
      </w:pPr>
      <w:r>
        <w:tab/>
      </w:r>
      <w:r>
        <w:tab/>
      </w:r>
      <w:r>
        <w:tab/>
      </w:r>
      <w:r w:rsidR="0078634C">
        <w:t xml:space="preserve">      </w:t>
      </w:r>
      <w:r w:rsidR="001D560E">
        <w:t xml:space="preserve">  </w:t>
      </w:r>
      <w:r w:rsidR="00B3712C">
        <w:t xml:space="preserve">                          </w:t>
      </w:r>
      <w:r w:rsidR="0078634C">
        <w:t xml:space="preserve"> (1-Agreed NRW%)</w:t>
      </w:r>
    </w:p>
    <w:p w:rsidR="00E22A5D" w:rsidRDefault="00E22A5D" w:rsidP="00E22A5D">
      <w:pPr>
        <w:pStyle w:val="NoSpacing"/>
      </w:pPr>
    </w:p>
    <w:p w:rsidR="00E068D2" w:rsidRDefault="00E068D2" w:rsidP="00E22A5D">
      <w:pPr>
        <w:pStyle w:val="NoSpacing"/>
      </w:pPr>
    </w:p>
    <w:p w:rsidR="00167DA6" w:rsidRDefault="00167DA6" w:rsidP="00226D56">
      <w:pPr>
        <w:spacing w:line="240" w:lineRule="auto"/>
        <w:ind w:left="432"/>
        <w:rPr>
          <w:i/>
        </w:rPr>
      </w:pPr>
      <w:r>
        <w:rPr>
          <w:i/>
        </w:rPr>
        <w:t>The following are example inputs for illustration only</w:t>
      </w:r>
      <w:r w:rsidR="00FE69F8">
        <w:rPr>
          <w:i/>
        </w:rPr>
        <w:t xml:space="preserve">, and note that </w:t>
      </w:r>
      <w:r w:rsidR="000060A3">
        <w:rPr>
          <w:i/>
        </w:rPr>
        <w:t xml:space="preserve">actual </w:t>
      </w:r>
      <w:r w:rsidR="00E068D2">
        <w:rPr>
          <w:i/>
        </w:rPr>
        <w:t>calculations</w:t>
      </w:r>
      <w:r w:rsidR="00FE69F8">
        <w:rPr>
          <w:i/>
        </w:rPr>
        <w:t xml:space="preserve"> can result in positive OR negative adjustment</w:t>
      </w:r>
      <w:r w:rsidR="000060A3">
        <w:rPr>
          <w:i/>
        </w:rPr>
        <w:t>s</w:t>
      </w:r>
      <w:r>
        <w:rPr>
          <w:i/>
        </w:rPr>
        <w:t>:</w:t>
      </w:r>
    </w:p>
    <w:p w:rsidR="00167DA6" w:rsidRDefault="00167DA6" w:rsidP="001C2528">
      <w:pPr>
        <w:pStyle w:val="NoSpacing"/>
        <w:ind w:left="720" w:firstLine="720"/>
      </w:pPr>
      <w:r>
        <w:t xml:space="preserve">Sales to Customers = 1,000,000 </w:t>
      </w:r>
      <w:proofErr w:type="gramStart"/>
      <w:r>
        <w:t>ccf</w:t>
      </w:r>
      <w:proofErr w:type="gramEnd"/>
    </w:p>
    <w:p w:rsidR="00167DA6" w:rsidRDefault="00167DA6" w:rsidP="001C2528">
      <w:pPr>
        <w:pStyle w:val="NoSpacing"/>
        <w:ind w:left="720" w:firstLine="720"/>
      </w:pPr>
      <w:r>
        <w:t xml:space="preserve">Other Sources = 0 </w:t>
      </w:r>
      <w:proofErr w:type="gramStart"/>
      <w:r>
        <w:t>ccf</w:t>
      </w:r>
      <w:proofErr w:type="gramEnd"/>
    </w:p>
    <w:p w:rsidR="00167DA6" w:rsidRDefault="00167DA6" w:rsidP="001C2528">
      <w:pPr>
        <w:pStyle w:val="NoSpacing"/>
        <w:ind w:left="720" w:firstLine="720"/>
      </w:pPr>
      <w:r>
        <w:t>Agreed to Non-Revenue Water percentage = 4%</w:t>
      </w:r>
    </w:p>
    <w:p w:rsidR="003F0908" w:rsidRDefault="003F0908" w:rsidP="001C2528">
      <w:pPr>
        <w:pStyle w:val="NoSpacing"/>
        <w:ind w:left="720" w:firstLine="720"/>
      </w:pPr>
      <w:r>
        <w:t xml:space="preserve">SPU Billed Water = 950,000 </w:t>
      </w:r>
      <w:proofErr w:type="gramStart"/>
      <w:r>
        <w:t>ccf</w:t>
      </w:r>
      <w:proofErr w:type="gramEnd"/>
    </w:p>
    <w:p w:rsidR="0090098F" w:rsidRDefault="0090098F" w:rsidP="0090098F">
      <w:pPr>
        <w:pStyle w:val="NoSpacing"/>
        <w:ind w:firstLine="720"/>
      </w:pPr>
    </w:p>
    <w:p w:rsidR="00167DA6" w:rsidRDefault="0090098F" w:rsidP="001C2528">
      <w:pPr>
        <w:pStyle w:val="NoSpacing"/>
        <w:ind w:left="720" w:firstLine="720"/>
      </w:pPr>
      <w:r w:rsidRPr="00293E44">
        <w:t xml:space="preserve">SPU Delivered </w:t>
      </w:r>
      <w:r>
        <w:t xml:space="preserve">Water = </w:t>
      </w:r>
      <w:r w:rsidR="003F0908">
        <w:t>[</w:t>
      </w:r>
      <w:r>
        <w:t>1,000,000</w:t>
      </w:r>
      <w:proofErr w:type="gramStart"/>
      <w:r>
        <w:t>/(</w:t>
      </w:r>
      <w:proofErr w:type="gramEnd"/>
      <w:r>
        <w:t>1-</w:t>
      </w:r>
      <w:r w:rsidR="001D560E">
        <w:t>0</w:t>
      </w:r>
      <w:r>
        <w:t>.04) – 0</w:t>
      </w:r>
      <w:r w:rsidR="003F0908">
        <w:t>]</w:t>
      </w:r>
      <w:r>
        <w:t xml:space="preserve"> = 1,041,666 ccf</w:t>
      </w:r>
    </w:p>
    <w:p w:rsidR="003F0908" w:rsidRDefault="003F0908" w:rsidP="003F0908">
      <w:pPr>
        <w:pStyle w:val="NoSpacing"/>
        <w:ind w:firstLine="720"/>
      </w:pPr>
    </w:p>
    <w:p w:rsidR="003F0908" w:rsidRDefault="003F0908" w:rsidP="001C2528">
      <w:pPr>
        <w:pStyle w:val="NoSpacing"/>
        <w:ind w:left="720" w:firstLine="720"/>
      </w:pPr>
      <w:r>
        <w:t xml:space="preserve">Prior Year Adjustment = 1,041,666 </w:t>
      </w:r>
      <w:proofErr w:type="gramStart"/>
      <w:r>
        <w:t>ccf</w:t>
      </w:r>
      <w:proofErr w:type="gramEnd"/>
      <w:r>
        <w:t xml:space="preserve"> – 950,000 ccf = </w:t>
      </w:r>
      <w:r w:rsidRPr="00CF556F">
        <w:rPr>
          <w:b/>
        </w:rPr>
        <w:t>91,666 ccf</w:t>
      </w:r>
    </w:p>
    <w:p w:rsidR="00CF556F" w:rsidRDefault="00815CEA" w:rsidP="001C2528">
      <w:pPr>
        <w:pStyle w:val="NoSpacing"/>
        <w:ind w:left="720" w:firstLine="720"/>
      </w:pPr>
      <w:r w:rsidRPr="00815CEA">
        <w:t xml:space="preserve">This is then broken down by month to determine peak and off-peak portions.  </w:t>
      </w:r>
    </w:p>
    <w:p w:rsidR="00815CEA" w:rsidRPr="00815CEA" w:rsidRDefault="00815CEA" w:rsidP="00815CEA">
      <w:pPr>
        <w:pStyle w:val="NoSpacing"/>
        <w:ind w:firstLine="720"/>
      </w:pPr>
    </w:p>
    <w:p w:rsidR="000060A3" w:rsidRDefault="00CF556F" w:rsidP="00226D56">
      <w:pPr>
        <w:spacing w:line="240" w:lineRule="auto"/>
        <w:ind w:left="432"/>
        <w:rPr>
          <w:i/>
        </w:rPr>
      </w:pPr>
      <w:r>
        <w:rPr>
          <w:i/>
        </w:rPr>
        <w:t xml:space="preserve">For the second step in the process, the true up </w:t>
      </w:r>
      <w:r w:rsidR="001802DA">
        <w:rPr>
          <w:i/>
        </w:rPr>
        <w:t>captures the additional revenues from above, and re-calculates</w:t>
      </w:r>
      <w:r w:rsidR="007378ED">
        <w:rPr>
          <w:i/>
        </w:rPr>
        <w:t xml:space="preserve"> the demand and revenues for Seattle-as-</w:t>
      </w:r>
      <w:bookmarkStart w:id="0" w:name="_GoBack"/>
      <w:bookmarkEnd w:id="0"/>
      <w:r w:rsidR="007378ED">
        <w:rPr>
          <w:i/>
        </w:rPr>
        <w:t xml:space="preserve">wholesale.  </w:t>
      </w:r>
      <w:r w:rsidR="00FE69F8">
        <w:rPr>
          <w:i/>
        </w:rPr>
        <w:t xml:space="preserve">Because </w:t>
      </w:r>
      <w:r w:rsidR="000060A3">
        <w:rPr>
          <w:i/>
        </w:rPr>
        <w:t xml:space="preserve">wholesale demand is subtracted from the sources </w:t>
      </w:r>
      <w:r w:rsidR="00DB023C">
        <w:rPr>
          <w:i/>
        </w:rPr>
        <w:t xml:space="preserve">of supply </w:t>
      </w:r>
      <w:r w:rsidR="000060A3">
        <w:rPr>
          <w:i/>
        </w:rPr>
        <w:t xml:space="preserve">to determine Seattle-as-wholesale, </w:t>
      </w:r>
      <w:r w:rsidR="00DB023C">
        <w:rPr>
          <w:i/>
        </w:rPr>
        <w:t xml:space="preserve">Seattle’s </w:t>
      </w:r>
      <w:r w:rsidR="000060A3">
        <w:rPr>
          <w:i/>
        </w:rPr>
        <w:t xml:space="preserve">demand adjustment is always the opposite of the wholesale adjustment.  </w:t>
      </w:r>
      <w:r w:rsidR="00A95B00">
        <w:rPr>
          <w:i/>
        </w:rPr>
        <w:t xml:space="preserve">However, because </w:t>
      </w:r>
      <w:r w:rsidR="00FF22C2">
        <w:rPr>
          <w:i/>
        </w:rPr>
        <w:t>different rates apply to different customers (growth charge, block customers, etc.),</w:t>
      </w:r>
      <w:r w:rsidR="008D3CE7">
        <w:rPr>
          <w:i/>
        </w:rPr>
        <w:t xml:space="preserve"> </w:t>
      </w:r>
      <w:r w:rsidR="009F4735">
        <w:rPr>
          <w:i/>
        </w:rPr>
        <w:t xml:space="preserve">the </w:t>
      </w:r>
      <w:r w:rsidR="00DB023C">
        <w:rPr>
          <w:i/>
        </w:rPr>
        <w:t xml:space="preserve">changes in </w:t>
      </w:r>
      <w:r w:rsidR="009F4735">
        <w:rPr>
          <w:i/>
        </w:rPr>
        <w:t xml:space="preserve">revenue </w:t>
      </w:r>
      <w:r w:rsidR="00DB023C">
        <w:rPr>
          <w:i/>
        </w:rPr>
        <w:t>are not</w:t>
      </w:r>
      <w:r w:rsidR="009F4735">
        <w:rPr>
          <w:i/>
        </w:rPr>
        <w:t xml:space="preserve"> identical</w:t>
      </w:r>
      <w:r w:rsidR="00FF22C2">
        <w:rPr>
          <w:i/>
        </w:rPr>
        <w:t xml:space="preserve"> and the net revenue adjustment is not zero.  </w:t>
      </w:r>
      <w:r w:rsidR="009F4735">
        <w:rPr>
          <w:i/>
        </w:rPr>
        <w:t xml:space="preserve">  </w:t>
      </w:r>
      <w:r w:rsidR="008D3CE7">
        <w:rPr>
          <w:i/>
        </w:rPr>
        <w:t xml:space="preserve">  </w:t>
      </w:r>
      <w:r w:rsidR="000060A3">
        <w:rPr>
          <w:i/>
        </w:rPr>
        <w:t xml:space="preserve"> </w:t>
      </w:r>
    </w:p>
    <w:p w:rsidR="00167DA6" w:rsidRDefault="008D3CE7" w:rsidP="00E068D2">
      <w:pPr>
        <w:spacing w:after="0" w:line="240" w:lineRule="auto"/>
        <w:ind w:left="432"/>
        <w:rPr>
          <w:i/>
        </w:rPr>
      </w:pPr>
      <w:r>
        <w:rPr>
          <w:i/>
        </w:rPr>
        <w:t>Continuing the example above:</w:t>
      </w:r>
    </w:p>
    <w:tbl>
      <w:tblPr>
        <w:tblStyle w:val="TableGrid"/>
        <w:tblW w:w="0" w:type="auto"/>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2306"/>
        <w:gridCol w:w="2160"/>
      </w:tblGrid>
      <w:tr w:rsidR="000F2331" w:rsidRPr="007D168C" w:rsidTr="000F2331">
        <w:trPr>
          <w:jc w:val="center"/>
        </w:trPr>
        <w:tc>
          <w:tcPr>
            <w:tcW w:w="3040" w:type="dxa"/>
            <w:tcBorders>
              <w:bottom w:val="single" w:sz="4" w:space="0" w:color="auto"/>
            </w:tcBorders>
          </w:tcPr>
          <w:p w:rsidR="007D168C" w:rsidRPr="007D168C" w:rsidRDefault="007D168C" w:rsidP="00226D56"/>
        </w:tc>
        <w:tc>
          <w:tcPr>
            <w:tcW w:w="2306" w:type="dxa"/>
            <w:tcBorders>
              <w:bottom w:val="single" w:sz="4" w:space="0" w:color="auto"/>
            </w:tcBorders>
          </w:tcPr>
          <w:p w:rsidR="007D168C" w:rsidRPr="007D168C" w:rsidRDefault="007D168C" w:rsidP="007D168C">
            <w:pPr>
              <w:jc w:val="center"/>
            </w:pPr>
            <w:r>
              <w:t>Volume Adjustment</w:t>
            </w:r>
          </w:p>
        </w:tc>
        <w:tc>
          <w:tcPr>
            <w:tcW w:w="2160" w:type="dxa"/>
            <w:tcBorders>
              <w:bottom w:val="single" w:sz="4" w:space="0" w:color="auto"/>
            </w:tcBorders>
          </w:tcPr>
          <w:p w:rsidR="007D168C" w:rsidRPr="007D168C" w:rsidRDefault="007D168C" w:rsidP="007D168C">
            <w:pPr>
              <w:jc w:val="center"/>
            </w:pPr>
            <w:r>
              <w:t>Revenue Adjustment</w:t>
            </w:r>
          </w:p>
        </w:tc>
      </w:tr>
      <w:tr w:rsidR="000F2331" w:rsidRPr="007D168C" w:rsidTr="000F2331">
        <w:trPr>
          <w:jc w:val="center"/>
        </w:trPr>
        <w:tc>
          <w:tcPr>
            <w:tcW w:w="3040" w:type="dxa"/>
            <w:tcBorders>
              <w:top w:val="single" w:sz="4" w:space="0" w:color="auto"/>
            </w:tcBorders>
          </w:tcPr>
          <w:p w:rsidR="007D168C" w:rsidRPr="007D168C" w:rsidRDefault="007D168C" w:rsidP="00226D56">
            <w:r w:rsidRPr="007D168C">
              <w:t>Actual wholesale customer</w:t>
            </w:r>
          </w:p>
        </w:tc>
        <w:tc>
          <w:tcPr>
            <w:tcW w:w="2306" w:type="dxa"/>
            <w:tcBorders>
              <w:top w:val="single" w:sz="4" w:space="0" w:color="auto"/>
            </w:tcBorders>
          </w:tcPr>
          <w:p w:rsidR="007D168C" w:rsidRPr="007D168C" w:rsidRDefault="007D168C" w:rsidP="007D168C">
            <w:pPr>
              <w:jc w:val="center"/>
            </w:pPr>
            <w:r>
              <w:t>91,666 ccf</w:t>
            </w:r>
          </w:p>
        </w:tc>
        <w:tc>
          <w:tcPr>
            <w:tcW w:w="2160" w:type="dxa"/>
            <w:tcBorders>
              <w:top w:val="single" w:sz="4" w:space="0" w:color="auto"/>
            </w:tcBorders>
          </w:tcPr>
          <w:p w:rsidR="007D168C" w:rsidRPr="007D168C" w:rsidRDefault="007D168C" w:rsidP="007D168C">
            <w:pPr>
              <w:jc w:val="center"/>
            </w:pPr>
            <w:r>
              <w:t>$ X</w:t>
            </w:r>
          </w:p>
        </w:tc>
      </w:tr>
      <w:tr w:rsidR="000F2331" w:rsidRPr="007D168C" w:rsidTr="000F2331">
        <w:trPr>
          <w:jc w:val="center"/>
        </w:trPr>
        <w:tc>
          <w:tcPr>
            <w:tcW w:w="3040" w:type="dxa"/>
          </w:tcPr>
          <w:p w:rsidR="007D168C" w:rsidRPr="007D168C" w:rsidRDefault="007D168C" w:rsidP="00226D56">
            <w:r w:rsidRPr="007D168C">
              <w:t>Seattle-as-wholesale</w:t>
            </w:r>
          </w:p>
        </w:tc>
        <w:tc>
          <w:tcPr>
            <w:tcW w:w="2306" w:type="dxa"/>
            <w:tcBorders>
              <w:bottom w:val="single" w:sz="4" w:space="0" w:color="auto"/>
            </w:tcBorders>
          </w:tcPr>
          <w:p w:rsidR="007D168C" w:rsidRPr="007D168C" w:rsidRDefault="007D168C" w:rsidP="007D168C">
            <w:pPr>
              <w:jc w:val="center"/>
            </w:pPr>
            <w:r>
              <w:t>(91,666) ccf</w:t>
            </w:r>
          </w:p>
        </w:tc>
        <w:tc>
          <w:tcPr>
            <w:tcW w:w="2160" w:type="dxa"/>
            <w:tcBorders>
              <w:bottom w:val="single" w:sz="4" w:space="0" w:color="auto"/>
            </w:tcBorders>
          </w:tcPr>
          <w:p w:rsidR="007D168C" w:rsidRPr="007D168C" w:rsidRDefault="007D168C" w:rsidP="007D168C">
            <w:pPr>
              <w:jc w:val="center"/>
            </w:pPr>
            <w:r>
              <w:t>$ (Y)</w:t>
            </w:r>
          </w:p>
        </w:tc>
      </w:tr>
      <w:tr w:rsidR="00AE40E0" w:rsidRPr="007D168C" w:rsidTr="000F2331">
        <w:trPr>
          <w:jc w:val="center"/>
        </w:trPr>
        <w:tc>
          <w:tcPr>
            <w:tcW w:w="3040" w:type="dxa"/>
          </w:tcPr>
          <w:p w:rsidR="00AE40E0" w:rsidRPr="007D168C" w:rsidRDefault="00AE40E0" w:rsidP="00226D56">
            <w:r>
              <w:t>Total</w:t>
            </w:r>
          </w:p>
        </w:tc>
        <w:tc>
          <w:tcPr>
            <w:tcW w:w="2306" w:type="dxa"/>
            <w:tcBorders>
              <w:top w:val="single" w:sz="4" w:space="0" w:color="auto"/>
            </w:tcBorders>
          </w:tcPr>
          <w:p w:rsidR="00AE40E0" w:rsidRDefault="00AE40E0" w:rsidP="007D168C">
            <w:pPr>
              <w:jc w:val="center"/>
            </w:pPr>
            <w:r>
              <w:t>0 ccf</w:t>
            </w:r>
          </w:p>
        </w:tc>
        <w:tc>
          <w:tcPr>
            <w:tcW w:w="2160" w:type="dxa"/>
            <w:tcBorders>
              <w:top w:val="single" w:sz="4" w:space="0" w:color="auto"/>
            </w:tcBorders>
          </w:tcPr>
          <w:p w:rsidR="00AE40E0" w:rsidRDefault="00751BBC" w:rsidP="009A6679">
            <w:pPr>
              <w:jc w:val="center"/>
            </w:pPr>
            <w:r>
              <w:t xml:space="preserve"> $ X</w:t>
            </w:r>
            <w:r w:rsidR="009A6679">
              <w:t>+</w:t>
            </w:r>
            <w:r>
              <w:t>Y</w:t>
            </w:r>
          </w:p>
        </w:tc>
      </w:tr>
    </w:tbl>
    <w:p w:rsidR="009F4735" w:rsidRDefault="009F4735" w:rsidP="00226D56">
      <w:pPr>
        <w:spacing w:line="240" w:lineRule="auto"/>
        <w:ind w:left="432"/>
        <w:rPr>
          <w:i/>
        </w:rPr>
      </w:pPr>
    </w:p>
    <w:p w:rsidR="006E2BD4" w:rsidRDefault="005421A1" w:rsidP="005421A1">
      <w:pPr>
        <w:spacing w:line="240" w:lineRule="auto"/>
        <w:ind w:left="432"/>
        <w:rPr>
          <w:i/>
        </w:rPr>
      </w:pPr>
      <w:r>
        <w:rPr>
          <w:i/>
        </w:rPr>
        <w:t xml:space="preserve">The overall revenue adjustment is included in the revenue portion of the true up report, and affects projected 2014 year-end balance that is the starting point for the 2015-2017 rate study.  </w:t>
      </w:r>
    </w:p>
    <w:sectPr w:rsidR="006E2BD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9E" w:rsidRDefault="0074419E" w:rsidP="0074419E">
      <w:pPr>
        <w:spacing w:after="0" w:line="240" w:lineRule="auto"/>
      </w:pPr>
      <w:r>
        <w:separator/>
      </w:r>
    </w:p>
  </w:endnote>
  <w:endnote w:type="continuationSeparator" w:id="0">
    <w:p w:rsidR="0074419E" w:rsidRDefault="0074419E" w:rsidP="0074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9E" w:rsidRDefault="00852B46">
    <w:pPr>
      <w:pStyle w:val="Footer"/>
    </w:pPr>
    <w:r>
      <w:t>June 5,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9E" w:rsidRDefault="0074419E" w:rsidP="0074419E">
      <w:pPr>
        <w:spacing w:after="0" w:line="240" w:lineRule="auto"/>
      </w:pPr>
      <w:r>
        <w:separator/>
      </w:r>
    </w:p>
  </w:footnote>
  <w:footnote w:type="continuationSeparator" w:id="0">
    <w:p w:rsidR="0074419E" w:rsidRDefault="0074419E" w:rsidP="00744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CE" w:rsidRDefault="002438E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6533"/>
    <w:multiLevelType w:val="hybridMultilevel"/>
    <w:tmpl w:val="4F0E36D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64D21F3"/>
    <w:multiLevelType w:val="hybridMultilevel"/>
    <w:tmpl w:val="797E3A50"/>
    <w:lvl w:ilvl="0" w:tplc="2C02C4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D3054"/>
    <w:multiLevelType w:val="hybridMultilevel"/>
    <w:tmpl w:val="43C65D04"/>
    <w:lvl w:ilvl="0" w:tplc="A5A0755E">
      <w:start w:val="1"/>
      <w:numFmt w:val="decimal"/>
      <w:lvlText w:val="%1."/>
      <w:lvlJc w:val="left"/>
      <w:pPr>
        <w:ind w:left="630" w:hanging="360"/>
      </w:pPr>
      <w:rPr>
        <w:rFonts w:hint="default"/>
        <w:b/>
        <w:u w:val="none"/>
      </w:rPr>
    </w:lvl>
    <w:lvl w:ilvl="1" w:tplc="E4E8480A">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70936"/>
    <w:multiLevelType w:val="hybridMultilevel"/>
    <w:tmpl w:val="8F5655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F510B"/>
    <w:multiLevelType w:val="hybridMultilevel"/>
    <w:tmpl w:val="080AB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76"/>
    <w:rsid w:val="00002927"/>
    <w:rsid w:val="000060A3"/>
    <w:rsid w:val="00023476"/>
    <w:rsid w:val="000308E6"/>
    <w:rsid w:val="00075C58"/>
    <w:rsid w:val="0008515A"/>
    <w:rsid w:val="000B1976"/>
    <w:rsid w:val="000B2B6B"/>
    <w:rsid w:val="000C3235"/>
    <w:rsid w:val="000C753D"/>
    <w:rsid w:val="000D188F"/>
    <w:rsid w:val="000F2331"/>
    <w:rsid w:val="00126ECC"/>
    <w:rsid w:val="00156EB8"/>
    <w:rsid w:val="00167DA6"/>
    <w:rsid w:val="001802DA"/>
    <w:rsid w:val="00181739"/>
    <w:rsid w:val="001856D8"/>
    <w:rsid w:val="00194AAC"/>
    <w:rsid w:val="001C2528"/>
    <w:rsid w:val="001D50BA"/>
    <w:rsid w:val="001D560E"/>
    <w:rsid w:val="00212934"/>
    <w:rsid w:val="00226D56"/>
    <w:rsid w:val="00231037"/>
    <w:rsid w:val="00232D13"/>
    <w:rsid w:val="002438E4"/>
    <w:rsid w:val="00280439"/>
    <w:rsid w:val="00293E44"/>
    <w:rsid w:val="002A1941"/>
    <w:rsid w:val="002B722D"/>
    <w:rsid w:val="002D0E33"/>
    <w:rsid w:val="002E0202"/>
    <w:rsid w:val="00345C3D"/>
    <w:rsid w:val="00394960"/>
    <w:rsid w:val="003E68E8"/>
    <w:rsid w:val="003F0908"/>
    <w:rsid w:val="00401596"/>
    <w:rsid w:val="00402874"/>
    <w:rsid w:val="00407CB2"/>
    <w:rsid w:val="00414945"/>
    <w:rsid w:val="004606D3"/>
    <w:rsid w:val="00485419"/>
    <w:rsid w:val="004C0D35"/>
    <w:rsid w:val="00511E0B"/>
    <w:rsid w:val="005126DB"/>
    <w:rsid w:val="00531D82"/>
    <w:rsid w:val="005421A1"/>
    <w:rsid w:val="00562024"/>
    <w:rsid w:val="005B76DB"/>
    <w:rsid w:val="005D3928"/>
    <w:rsid w:val="005D77B1"/>
    <w:rsid w:val="00605ED2"/>
    <w:rsid w:val="00610C6A"/>
    <w:rsid w:val="00614935"/>
    <w:rsid w:val="006B0B10"/>
    <w:rsid w:val="006D18F3"/>
    <w:rsid w:val="006E2BD4"/>
    <w:rsid w:val="006E300D"/>
    <w:rsid w:val="006E317C"/>
    <w:rsid w:val="006E42B7"/>
    <w:rsid w:val="007023B2"/>
    <w:rsid w:val="0070444C"/>
    <w:rsid w:val="00727FC5"/>
    <w:rsid w:val="007378ED"/>
    <w:rsid w:val="0074419E"/>
    <w:rsid w:val="00751BBC"/>
    <w:rsid w:val="00761521"/>
    <w:rsid w:val="0078634C"/>
    <w:rsid w:val="00787A6D"/>
    <w:rsid w:val="00791431"/>
    <w:rsid w:val="007D168C"/>
    <w:rsid w:val="008060B2"/>
    <w:rsid w:val="00815CEA"/>
    <w:rsid w:val="00835C6A"/>
    <w:rsid w:val="00852B46"/>
    <w:rsid w:val="00863125"/>
    <w:rsid w:val="00883DCA"/>
    <w:rsid w:val="0088594A"/>
    <w:rsid w:val="008D3CE7"/>
    <w:rsid w:val="008E2D15"/>
    <w:rsid w:val="0090098F"/>
    <w:rsid w:val="00930A56"/>
    <w:rsid w:val="00984971"/>
    <w:rsid w:val="009A6679"/>
    <w:rsid w:val="009B6E13"/>
    <w:rsid w:val="009F4735"/>
    <w:rsid w:val="00A5109A"/>
    <w:rsid w:val="00A86239"/>
    <w:rsid w:val="00A95B00"/>
    <w:rsid w:val="00AE40E0"/>
    <w:rsid w:val="00B33914"/>
    <w:rsid w:val="00B339BF"/>
    <w:rsid w:val="00B3712C"/>
    <w:rsid w:val="00B62884"/>
    <w:rsid w:val="00BF7951"/>
    <w:rsid w:val="00C00B93"/>
    <w:rsid w:val="00CF1F32"/>
    <w:rsid w:val="00CF556F"/>
    <w:rsid w:val="00D46590"/>
    <w:rsid w:val="00D60540"/>
    <w:rsid w:val="00D92A03"/>
    <w:rsid w:val="00DA1591"/>
    <w:rsid w:val="00DB023C"/>
    <w:rsid w:val="00DF08E2"/>
    <w:rsid w:val="00E068D2"/>
    <w:rsid w:val="00E22A5D"/>
    <w:rsid w:val="00E240F1"/>
    <w:rsid w:val="00E517D1"/>
    <w:rsid w:val="00EA5BFC"/>
    <w:rsid w:val="00ED6CA4"/>
    <w:rsid w:val="00F179DE"/>
    <w:rsid w:val="00F264D4"/>
    <w:rsid w:val="00F442BE"/>
    <w:rsid w:val="00F766CE"/>
    <w:rsid w:val="00FA6EF1"/>
    <w:rsid w:val="00FC0910"/>
    <w:rsid w:val="00FC3153"/>
    <w:rsid w:val="00FD11CE"/>
    <w:rsid w:val="00FD6B80"/>
    <w:rsid w:val="00FE69F8"/>
    <w:rsid w:val="00FF22C2"/>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76"/>
    <w:pPr>
      <w:ind w:left="720"/>
      <w:contextualSpacing/>
    </w:pPr>
  </w:style>
  <w:style w:type="paragraph" w:styleId="Header">
    <w:name w:val="header"/>
    <w:basedOn w:val="Normal"/>
    <w:link w:val="HeaderChar"/>
    <w:uiPriority w:val="99"/>
    <w:unhideWhenUsed/>
    <w:rsid w:val="0074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19E"/>
  </w:style>
  <w:style w:type="paragraph" w:styleId="Footer">
    <w:name w:val="footer"/>
    <w:basedOn w:val="Normal"/>
    <w:link w:val="FooterChar"/>
    <w:uiPriority w:val="99"/>
    <w:unhideWhenUsed/>
    <w:rsid w:val="00744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9E"/>
  </w:style>
  <w:style w:type="paragraph" w:styleId="BalloonText">
    <w:name w:val="Balloon Text"/>
    <w:basedOn w:val="Normal"/>
    <w:link w:val="BalloonTextChar"/>
    <w:uiPriority w:val="99"/>
    <w:semiHidden/>
    <w:unhideWhenUsed/>
    <w:rsid w:val="000D1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8F"/>
    <w:rPr>
      <w:rFonts w:ascii="Tahoma" w:hAnsi="Tahoma" w:cs="Tahoma"/>
      <w:sz w:val="16"/>
      <w:szCs w:val="16"/>
    </w:rPr>
  </w:style>
  <w:style w:type="paragraph" w:styleId="BodyText">
    <w:name w:val="Body Text"/>
    <w:basedOn w:val="Normal"/>
    <w:link w:val="BodyTextChar1"/>
    <w:uiPriority w:val="99"/>
    <w:semiHidden/>
    <w:unhideWhenUsed/>
    <w:rsid w:val="009B6E13"/>
    <w:pPr>
      <w:spacing w:after="240" w:line="240" w:lineRule="auto"/>
    </w:pPr>
    <w:rPr>
      <w:rFonts w:ascii="Times New Roman" w:hAnsi="Times New Roman" w:cs="Times New Roman"/>
    </w:rPr>
  </w:style>
  <w:style w:type="character" w:customStyle="1" w:styleId="BodyTextChar">
    <w:name w:val="Body Text Char"/>
    <w:basedOn w:val="DefaultParagraphFont"/>
    <w:uiPriority w:val="99"/>
    <w:semiHidden/>
    <w:rsid w:val="009B6E13"/>
  </w:style>
  <w:style w:type="character" w:customStyle="1" w:styleId="BodyTextChar1">
    <w:name w:val="Body Text Char1"/>
    <w:basedOn w:val="DefaultParagraphFont"/>
    <w:link w:val="BodyText"/>
    <w:uiPriority w:val="99"/>
    <w:semiHidden/>
    <w:locked/>
    <w:rsid w:val="009B6E13"/>
    <w:rPr>
      <w:rFonts w:ascii="Times New Roman" w:hAnsi="Times New Roman" w:cs="Times New Roman"/>
    </w:rPr>
  </w:style>
  <w:style w:type="table" w:styleId="TableGrid">
    <w:name w:val="Table Grid"/>
    <w:basedOn w:val="TableNormal"/>
    <w:uiPriority w:val="59"/>
    <w:rsid w:val="009B6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49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76"/>
    <w:pPr>
      <w:ind w:left="720"/>
      <w:contextualSpacing/>
    </w:pPr>
  </w:style>
  <w:style w:type="paragraph" w:styleId="Header">
    <w:name w:val="header"/>
    <w:basedOn w:val="Normal"/>
    <w:link w:val="HeaderChar"/>
    <w:uiPriority w:val="99"/>
    <w:unhideWhenUsed/>
    <w:rsid w:val="0074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19E"/>
  </w:style>
  <w:style w:type="paragraph" w:styleId="Footer">
    <w:name w:val="footer"/>
    <w:basedOn w:val="Normal"/>
    <w:link w:val="FooterChar"/>
    <w:uiPriority w:val="99"/>
    <w:unhideWhenUsed/>
    <w:rsid w:val="00744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9E"/>
  </w:style>
  <w:style w:type="paragraph" w:styleId="BalloonText">
    <w:name w:val="Balloon Text"/>
    <w:basedOn w:val="Normal"/>
    <w:link w:val="BalloonTextChar"/>
    <w:uiPriority w:val="99"/>
    <w:semiHidden/>
    <w:unhideWhenUsed/>
    <w:rsid w:val="000D1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8F"/>
    <w:rPr>
      <w:rFonts w:ascii="Tahoma" w:hAnsi="Tahoma" w:cs="Tahoma"/>
      <w:sz w:val="16"/>
      <w:szCs w:val="16"/>
    </w:rPr>
  </w:style>
  <w:style w:type="paragraph" w:styleId="BodyText">
    <w:name w:val="Body Text"/>
    <w:basedOn w:val="Normal"/>
    <w:link w:val="BodyTextChar1"/>
    <w:uiPriority w:val="99"/>
    <w:semiHidden/>
    <w:unhideWhenUsed/>
    <w:rsid w:val="009B6E13"/>
    <w:pPr>
      <w:spacing w:after="240" w:line="240" w:lineRule="auto"/>
    </w:pPr>
    <w:rPr>
      <w:rFonts w:ascii="Times New Roman" w:hAnsi="Times New Roman" w:cs="Times New Roman"/>
    </w:rPr>
  </w:style>
  <w:style w:type="character" w:customStyle="1" w:styleId="BodyTextChar">
    <w:name w:val="Body Text Char"/>
    <w:basedOn w:val="DefaultParagraphFont"/>
    <w:uiPriority w:val="99"/>
    <w:semiHidden/>
    <w:rsid w:val="009B6E13"/>
  </w:style>
  <w:style w:type="character" w:customStyle="1" w:styleId="BodyTextChar1">
    <w:name w:val="Body Text Char1"/>
    <w:basedOn w:val="DefaultParagraphFont"/>
    <w:link w:val="BodyText"/>
    <w:uiPriority w:val="99"/>
    <w:semiHidden/>
    <w:locked/>
    <w:rsid w:val="009B6E13"/>
    <w:rPr>
      <w:rFonts w:ascii="Times New Roman" w:hAnsi="Times New Roman" w:cs="Times New Roman"/>
    </w:rPr>
  </w:style>
  <w:style w:type="table" w:styleId="TableGrid">
    <w:name w:val="Table Grid"/>
    <w:basedOn w:val="TableNormal"/>
    <w:uiPriority w:val="59"/>
    <w:rsid w:val="009B6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4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Seattle Public Utilities</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Terri</dc:creator>
  <cp:lastModifiedBy>Carpenter, Regina A.</cp:lastModifiedBy>
  <cp:revision>5</cp:revision>
  <cp:lastPrinted>2014-06-05T14:10:00Z</cp:lastPrinted>
  <dcterms:created xsi:type="dcterms:W3CDTF">2014-06-05T14:17:00Z</dcterms:created>
  <dcterms:modified xsi:type="dcterms:W3CDTF">2014-06-05T14:29:00Z</dcterms:modified>
</cp:coreProperties>
</file>