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Garamond" w:cs="Garamond" w:eastAsia="Garamond" w:hAnsi="Garamond"/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Seattle Human Rights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Thursday,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April 6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, 201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6:00–8:00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Seattle City Hall, 600 4th Avenue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Boards and Commissions Room L280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Commissioner Call in Number: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(641) 715-3580 (Access Code: 226-361)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Public Listen Line: (206) 684-4718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entury Gothic" w:cs="Century Gothic" w:eastAsia="Century Gothic" w:hAnsi="Century Gothic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153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380"/>
        <w:gridCol w:w="5430"/>
        <w:gridCol w:w="3045"/>
        <w:tblGridChange w:id="0">
          <w:tblGrid>
            <w:gridCol w:w="1380"/>
            <w:gridCol w:w="5430"/>
            <w:gridCol w:w="304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6:00-6:1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vertAlign w:val="baseline"/>
                <w:rtl w:val="0"/>
              </w:rPr>
              <w:t xml:space="preserve">Welcome &amp; Introductions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vertAlign w:val="baseline"/>
                <w:rtl w:val="0"/>
              </w:rPr>
              <w:t xml:space="preserve">Public Comment</w:t>
              <w:br w:type="textWrapping"/>
              <w:t xml:space="preserve">Approval of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Approval of Agenda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Jeremy Wood /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Pauline Alvarado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-6: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SOCR Update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SOCR Staff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  6:15-6:25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Appeals and Hearings Update</w:t>
              <w:br w:type="textWrapping"/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Lara Diaconu</w:t>
              <w:br w:type="textWrapping"/>
            </w:r>
          </w:p>
        </w:tc>
      </w:tr>
      <w:tr>
        <w:trPr>
          <w:trHeight w:val="9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6:25-6:55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Action Items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Sound Transit and ICE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Katie Wilson and unearned income tax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Letter on Sanctuary City Litigation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Letter on DHS Policy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Community meeting plan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Jeremy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Tammy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Jeremy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Jeremy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John</w:t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6:55-7:05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Task Force Updates - Recent/Upcoming Action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Civil &amp; Political Rights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Economic and Social Rights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Cultural, Immigrant, Refugee, and Tribal Rights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Task Force Chairs</w:t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7:05-7:35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Executive Team Update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contextualSpacing w:val="1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Commissioner Development Update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contextualSpacing w:val="1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Workplan Review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contextualSpacing w:val="1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Interview Committee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contextualSpacing w:val="1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Intern update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Exec Team/ Commission Development Committee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7:35-8:00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b7b7b7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Task Force Work Time</w:t>
              <w:br w:type="textWrapping"/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ALL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ffffff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36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lang w:val="1033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