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A79" w14:textId="501ADBC5" w:rsidR="00132BCF" w:rsidRPr="00301AE3" w:rsidRDefault="00132BCF" w:rsidP="00F511F7">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r w:rsidR="00F511F7">
        <w:rPr>
          <w:b/>
          <w:sz w:val="28"/>
          <w:szCs w:val="28"/>
        </w:rPr>
        <w:t xml:space="preserve"> </w:t>
      </w:r>
      <w:r w:rsidR="00E71ABA">
        <w:rPr>
          <w:b/>
          <w:sz w:val="28"/>
          <w:szCs w:val="28"/>
        </w:rPr>
        <w:t>MINUTES</w:t>
      </w:r>
    </w:p>
    <w:p w14:paraId="67AF1BA2" w14:textId="077DD318" w:rsidR="00132BCF" w:rsidRPr="000E1456" w:rsidRDefault="00B0494E" w:rsidP="00132BCF">
      <w:pPr>
        <w:spacing w:before="40" w:after="0" w:line="240" w:lineRule="auto"/>
        <w:jc w:val="center"/>
        <w:rPr>
          <w:sz w:val="24"/>
          <w:szCs w:val="24"/>
        </w:rPr>
      </w:pPr>
      <w:r>
        <w:rPr>
          <w:sz w:val="24"/>
          <w:szCs w:val="24"/>
        </w:rPr>
        <w:t>October 5</w:t>
      </w:r>
      <w:r w:rsidR="00BE43CE">
        <w:rPr>
          <w:sz w:val="24"/>
          <w:szCs w:val="24"/>
        </w:rPr>
        <w:t>, 202</w:t>
      </w:r>
      <w:r>
        <w:rPr>
          <w:sz w:val="24"/>
          <w:szCs w:val="24"/>
        </w:rPr>
        <w:t>2</w:t>
      </w:r>
    </w:p>
    <w:p w14:paraId="43C3F72F" w14:textId="320E7928" w:rsidR="00132BCF" w:rsidRPr="00354BFA" w:rsidRDefault="0063415C" w:rsidP="00132BCF">
      <w:pPr>
        <w:spacing w:after="0" w:line="240" w:lineRule="auto"/>
        <w:jc w:val="center"/>
        <w:rPr>
          <w:sz w:val="24"/>
          <w:szCs w:val="24"/>
        </w:rPr>
      </w:pPr>
      <w:r>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08CECC9A" w14:textId="77777777" w:rsidR="005173C6" w:rsidRDefault="005173C6" w:rsidP="005173C6">
      <w:pPr>
        <w:spacing w:after="0" w:line="240" w:lineRule="auto"/>
        <w:rPr>
          <w:rFonts w:ascii="Calibri" w:eastAsia="Times New Roman" w:hAnsi="Calibri" w:cs="Calibri"/>
        </w:rPr>
      </w:pPr>
    </w:p>
    <w:p w14:paraId="51875898" w14:textId="7FC69F9A" w:rsidR="005173C6" w:rsidRDefault="005173C6" w:rsidP="005173C6">
      <w:pPr>
        <w:spacing w:after="0" w:line="240" w:lineRule="auto"/>
        <w:rPr>
          <w:rFonts w:ascii="Calibri" w:eastAsia="Times New Roman" w:hAnsi="Calibri" w:cs="Calibri"/>
        </w:rPr>
      </w:pPr>
      <w:r>
        <w:rPr>
          <w:rFonts w:ascii="Calibri" w:eastAsia="Times New Roman" w:hAnsi="Calibri" w:cs="Calibri"/>
        </w:rPr>
        <w:t>In attendance:</w:t>
      </w:r>
      <w:r w:rsidR="00B93EA0">
        <w:rPr>
          <w:rFonts w:ascii="Calibri" w:eastAsia="Times New Roman" w:hAnsi="Calibri" w:cs="Calibri"/>
        </w:rPr>
        <w:t xml:space="preserve"> Tim Guy</w:t>
      </w:r>
      <w:r>
        <w:rPr>
          <w:rFonts w:ascii="Calibri" w:eastAsia="Times New Roman" w:hAnsi="Calibri" w:cs="Calibri"/>
        </w:rPr>
        <w:t>,</w:t>
      </w:r>
      <w:r w:rsidR="00BE43CE">
        <w:rPr>
          <w:rFonts w:ascii="Calibri" w:eastAsia="Times New Roman" w:hAnsi="Calibri" w:cs="Calibri"/>
        </w:rPr>
        <w:t xml:space="preserve"> </w:t>
      </w:r>
      <w:r>
        <w:rPr>
          <w:rFonts w:ascii="Calibri" w:eastAsia="Times New Roman" w:hAnsi="Calibri" w:cs="Calibri"/>
        </w:rPr>
        <w:t>Kim McGillivray, Dan Godfrey</w:t>
      </w:r>
    </w:p>
    <w:p w14:paraId="505EA98B" w14:textId="33582B9F" w:rsidR="005173C6" w:rsidRDefault="005173C6" w:rsidP="005173C6">
      <w:pPr>
        <w:spacing w:after="0" w:line="240" w:lineRule="auto"/>
        <w:rPr>
          <w:rFonts w:ascii="Calibri" w:eastAsia="Times New Roman" w:hAnsi="Calibri" w:cs="Calibri"/>
        </w:rPr>
      </w:pPr>
      <w:r>
        <w:rPr>
          <w:rFonts w:ascii="Calibri" w:eastAsia="Times New Roman" w:hAnsi="Calibri" w:cs="Calibri"/>
        </w:rPr>
        <w:t>Staff: Alexis Izor</w:t>
      </w:r>
      <w:r w:rsidR="00BE43CE">
        <w:rPr>
          <w:rFonts w:ascii="Calibri" w:eastAsia="Times New Roman" w:hAnsi="Calibri" w:cs="Calibri"/>
        </w:rPr>
        <w:t>,</w:t>
      </w:r>
      <w:r w:rsidR="00B93EA0">
        <w:rPr>
          <w:rFonts w:ascii="Calibri" w:eastAsia="Times New Roman" w:hAnsi="Calibri" w:cs="Calibri"/>
        </w:rPr>
        <w:t xml:space="preserve"> Sandra Mallory</w:t>
      </w:r>
    </w:p>
    <w:p w14:paraId="0E2F8ED6" w14:textId="77777777" w:rsidR="005173C6" w:rsidRDefault="005173C6" w:rsidP="00132BCF">
      <w:pPr>
        <w:spacing w:after="0" w:line="240" w:lineRule="auto"/>
        <w:rPr>
          <w:sz w:val="24"/>
          <w:szCs w:val="24"/>
        </w:rPr>
      </w:pPr>
    </w:p>
    <w:p w14:paraId="0C851483" w14:textId="77777777" w:rsidR="009F2743" w:rsidRDefault="002710C7" w:rsidP="006F0A12">
      <w:pPr>
        <w:spacing w:after="0" w:line="240" w:lineRule="auto"/>
        <w:rPr>
          <w:rFonts w:ascii="Calibri" w:eastAsia="Times New Roman" w:hAnsi="Calibri" w:cs="Calibri"/>
          <w:b/>
          <w:bCs/>
          <w:color w:val="000000"/>
        </w:rPr>
      </w:pPr>
      <w:r w:rsidRPr="002710C7">
        <w:rPr>
          <w:rFonts w:ascii="Calibri" w:eastAsia="Times New Roman" w:hAnsi="Calibri" w:cs="Calibri"/>
          <w:b/>
          <w:bCs/>
          <w:color w:val="000000"/>
        </w:rPr>
        <w:t>Welcom</w:t>
      </w:r>
      <w:r w:rsidR="00CF71A0">
        <w:rPr>
          <w:rFonts w:ascii="Calibri" w:eastAsia="Times New Roman" w:hAnsi="Calibri" w:cs="Calibri"/>
          <w:b/>
          <w:bCs/>
          <w:color w:val="000000"/>
        </w:rPr>
        <w:t>e</w:t>
      </w:r>
      <w:r w:rsidR="00BB0954">
        <w:rPr>
          <w:rFonts w:ascii="Calibri" w:eastAsia="Times New Roman" w:hAnsi="Calibri" w:cs="Calibri"/>
          <w:b/>
          <w:bCs/>
          <w:color w:val="000000"/>
        </w:rPr>
        <w:t xml:space="preserve"> and Announcements</w:t>
      </w:r>
      <w:r w:rsidRPr="002710C7">
        <w:rPr>
          <w:rFonts w:ascii="Calibri" w:eastAsia="Times New Roman" w:hAnsi="Calibri" w:cs="Calibri"/>
          <w:b/>
          <w:bCs/>
          <w:color w:val="000000"/>
        </w:rPr>
        <w:tab/>
      </w:r>
    </w:p>
    <w:p w14:paraId="77FC07E7" w14:textId="77777777" w:rsidR="009F2743" w:rsidRDefault="009F2743" w:rsidP="006F0A12">
      <w:pPr>
        <w:spacing w:after="0" w:line="240" w:lineRule="auto"/>
        <w:rPr>
          <w:rFonts w:ascii="Times New Roman" w:eastAsia="Times New Roman" w:hAnsi="Times New Roman" w:cs="Times New Roman"/>
          <w:sz w:val="24"/>
          <w:szCs w:val="24"/>
        </w:rPr>
      </w:pPr>
    </w:p>
    <w:p w14:paraId="1C9299DB" w14:textId="5BF8EF2A" w:rsidR="006F0A12" w:rsidRPr="002710C7" w:rsidRDefault="00AE2AA5" w:rsidP="006F0A12">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2DC4C356" w14:textId="1F4DDD09" w:rsidR="006E47FA" w:rsidRPr="006E47FA" w:rsidRDefault="006E47FA" w:rsidP="00B93EA0">
      <w:pPr>
        <w:rPr>
          <w:rFonts w:ascii="Calibri" w:hAnsi="Calibri" w:cs="Calibri"/>
          <w:color w:val="000000"/>
          <w:shd w:val="clear" w:color="auto" w:fill="FFFFFF"/>
        </w:rPr>
      </w:pPr>
      <w:r w:rsidRPr="006E47FA">
        <w:rPr>
          <w:rFonts w:ascii="Calibri" w:hAnsi="Calibri" w:cs="Calibri"/>
          <w:color w:val="000000"/>
          <w:shd w:val="clear" w:color="auto" w:fill="FFFFFF"/>
        </w:rPr>
        <w:t>No Public comment for this meeting</w:t>
      </w:r>
    </w:p>
    <w:p w14:paraId="6BF71AAE" w14:textId="16EA18C4" w:rsidR="006A47FE" w:rsidRDefault="00BB0954" w:rsidP="00B93EA0">
      <w:pPr>
        <w:rPr>
          <w:rFonts w:ascii="Calibri" w:hAnsi="Calibri" w:cs="Calibri"/>
          <w:color w:val="000000"/>
          <w:shd w:val="clear" w:color="auto" w:fill="FFFFFF"/>
        </w:rPr>
      </w:pPr>
      <w:r w:rsidRPr="00A67E8B">
        <w:rPr>
          <w:rFonts w:ascii="Calibri" w:hAnsi="Calibri" w:cs="Calibri"/>
          <w:b/>
          <w:bCs/>
          <w:color w:val="000000"/>
          <w:shd w:val="clear" w:color="auto" w:fill="FFFFFF"/>
        </w:rPr>
        <w:t>Workgroup Meeting Times</w:t>
      </w:r>
      <w:r w:rsidR="000A0471" w:rsidRPr="00A67E8B">
        <w:rPr>
          <w:rFonts w:ascii="Calibri" w:hAnsi="Calibri" w:cs="Calibri"/>
          <w:b/>
          <w:bCs/>
          <w:color w:val="000000"/>
          <w:shd w:val="clear" w:color="auto" w:fill="FFFFFF"/>
        </w:rPr>
        <w:tab/>
      </w:r>
    </w:p>
    <w:p w14:paraId="5AA52A46" w14:textId="58EAF317" w:rsidR="00B93EA0" w:rsidRDefault="00B93EA0" w:rsidP="00B93EA0">
      <w:pPr>
        <w:rPr>
          <w:rFonts w:ascii="Calibri" w:hAnsi="Calibri" w:cs="Calibri"/>
          <w:color w:val="000000"/>
          <w:shd w:val="clear" w:color="auto" w:fill="FFFFFF"/>
        </w:rPr>
      </w:pPr>
      <w:r>
        <w:rPr>
          <w:rFonts w:ascii="Calibri" w:hAnsi="Calibri" w:cs="Calibri"/>
          <w:color w:val="000000"/>
          <w:shd w:val="clear" w:color="auto" w:fill="FFFFFF"/>
        </w:rPr>
        <w:t>100% Clean Buildings presentation by Office of Sustainability and Environment (OSCI), Program Manager, Sandra Mallory</w:t>
      </w:r>
    </w:p>
    <w:p w14:paraId="3D2AB133" w14:textId="418BF274" w:rsidR="00B93EA0" w:rsidRDefault="00B93EA0" w:rsidP="00B93EA0">
      <w:pPr>
        <w:pStyle w:val="ListParagraph"/>
        <w:numPr>
          <w:ilvl w:val="0"/>
          <w:numId w:val="32"/>
        </w:numPr>
        <w:rPr>
          <w:rFonts w:ascii="Calibri" w:hAnsi="Calibri" w:cs="Calibri"/>
          <w:color w:val="000000"/>
          <w:shd w:val="clear" w:color="auto" w:fill="FFFFFF"/>
        </w:rPr>
      </w:pPr>
      <w:r w:rsidRPr="00B93EA0">
        <w:rPr>
          <w:rFonts w:ascii="Calibri" w:hAnsi="Calibri" w:cs="Calibri"/>
          <w:color w:val="000000"/>
          <w:shd w:val="clear" w:color="auto" w:fill="FFFFFF"/>
        </w:rPr>
        <w:t xml:space="preserve">SRC feedback </w:t>
      </w:r>
      <w:r>
        <w:rPr>
          <w:rFonts w:ascii="Calibri" w:hAnsi="Calibri" w:cs="Calibri"/>
          <w:color w:val="000000"/>
          <w:shd w:val="clear" w:color="auto" w:fill="FFFFFF"/>
        </w:rPr>
        <w:t>is</w:t>
      </w:r>
      <w:r w:rsidRPr="00B93EA0">
        <w:rPr>
          <w:rFonts w:ascii="Calibri" w:hAnsi="Calibri" w:cs="Calibri"/>
          <w:color w:val="000000"/>
          <w:shd w:val="clear" w:color="auto" w:fill="FFFFFF"/>
        </w:rPr>
        <w:t xml:space="preserve"> needed for a OSCI funding proposal on cutting multi-family building pollution</w:t>
      </w:r>
    </w:p>
    <w:p w14:paraId="1C66A610" w14:textId="07D32AA1" w:rsidR="00B93EA0" w:rsidRDefault="00B93EA0" w:rsidP="00B93EA0">
      <w:pPr>
        <w:pStyle w:val="ListParagraph"/>
        <w:numPr>
          <w:ilvl w:val="0"/>
          <w:numId w:val="32"/>
        </w:numPr>
        <w:rPr>
          <w:rFonts w:ascii="Calibri" w:hAnsi="Calibri" w:cs="Calibri"/>
          <w:color w:val="000000"/>
          <w:shd w:val="clear" w:color="auto" w:fill="FFFFFF"/>
        </w:rPr>
      </w:pPr>
      <w:r>
        <w:rPr>
          <w:rFonts w:ascii="Calibri" w:hAnsi="Calibri" w:cs="Calibri"/>
          <w:color w:val="000000"/>
          <w:shd w:val="clear" w:color="auto" w:fill="FFFFFF"/>
        </w:rPr>
        <w:t>Proposal timeframe will go to the Mayor’s Office in December and Council in early 2023</w:t>
      </w:r>
    </w:p>
    <w:p w14:paraId="7CD4BEF8" w14:textId="39423EF9" w:rsidR="00B93EA0" w:rsidRDefault="00B93EA0" w:rsidP="00B93EA0">
      <w:pPr>
        <w:pStyle w:val="ListParagraph"/>
        <w:numPr>
          <w:ilvl w:val="1"/>
          <w:numId w:val="32"/>
        </w:numPr>
        <w:rPr>
          <w:rFonts w:ascii="Calibri" w:hAnsi="Calibri" w:cs="Calibri"/>
          <w:color w:val="000000"/>
          <w:shd w:val="clear" w:color="auto" w:fill="FFFFFF"/>
        </w:rPr>
      </w:pPr>
      <w:r>
        <w:rPr>
          <w:rFonts w:ascii="Calibri" w:hAnsi="Calibri" w:cs="Calibri"/>
          <w:color w:val="000000"/>
          <w:shd w:val="clear" w:color="auto" w:fill="FFFFFF"/>
        </w:rPr>
        <w:t>What are the landlord</w:t>
      </w:r>
      <w:r w:rsidR="006E47FA">
        <w:rPr>
          <w:rFonts w:ascii="Calibri" w:hAnsi="Calibri" w:cs="Calibri"/>
          <w:color w:val="000000"/>
          <w:shd w:val="clear" w:color="auto" w:fill="FFFFFF"/>
        </w:rPr>
        <w:t>s</w:t>
      </w:r>
      <w:r>
        <w:rPr>
          <w:rFonts w:ascii="Calibri" w:hAnsi="Calibri" w:cs="Calibri"/>
          <w:color w:val="000000"/>
          <w:shd w:val="clear" w:color="auto" w:fill="FFFFFF"/>
        </w:rPr>
        <w:t xml:space="preserve"> cost that may be past on to renters? Cost may vary, based on SDCI case study 50,000 sq. ft building would </w:t>
      </w:r>
      <w:r w:rsidR="006E47FA">
        <w:rPr>
          <w:rFonts w:ascii="Calibri" w:hAnsi="Calibri" w:cs="Calibri"/>
          <w:color w:val="000000"/>
          <w:shd w:val="clear" w:color="auto" w:fill="FFFFFF"/>
        </w:rPr>
        <w:t xml:space="preserve">have a $4,000 cost to the owner (e.g. Seattle Housing Authority) to maintain the energy efficiency moves, heat pumps and gas hot water systems. </w:t>
      </w:r>
    </w:p>
    <w:p w14:paraId="3DFC44FB" w14:textId="0AC62577" w:rsidR="006E47FA" w:rsidRDefault="006E47FA" w:rsidP="006E47FA">
      <w:pPr>
        <w:pStyle w:val="ListParagraph"/>
        <w:numPr>
          <w:ilvl w:val="2"/>
          <w:numId w:val="32"/>
        </w:numPr>
        <w:rPr>
          <w:rFonts w:ascii="Calibri" w:hAnsi="Calibri" w:cs="Calibri"/>
          <w:color w:val="000000"/>
          <w:shd w:val="clear" w:color="auto" w:fill="FFFFFF"/>
        </w:rPr>
      </w:pPr>
      <w:r>
        <w:rPr>
          <w:rFonts w:ascii="Calibri" w:hAnsi="Calibri" w:cs="Calibri"/>
          <w:color w:val="000000"/>
          <w:shd w:val="clear" w:color="auto" w:fill="FFFFFF"/>
        </w:rPr>
        <w:t>SDCI is estimating $300-$350k for proposal</w:t>
      </w:r>
    </w:p>
    <w:p w14:paraId="6E980C36" w14:textId="24A07703" w:rsidR="006E47FA" w:rsidRDefault="006E47FA" w:rsidP="006E47FA">
      <w:pPr>
        <w:pStyle w:val="ListParagraph"/>
        <w:numPr>
          <w:ilvl w:val="1"/>
          <w:numId w:val="32"/>
        </w:numPr>
        <w:rPr>
          <w:rFonts w:ascii="Calibri" w:hAnsi="Calibri" w:cs="Calibri"/>
          <w:color w:val="000000"/>
          <w:shd w:val="clear" w:color="auto" w:fill="FFFFFF"/>
        </w:rPr>
      </w:pPr>
      <w:r>
        <w:rPr>
          <w:rFonts w:ascii="Calibri" w:hAnsi="Calibri" w:cs="Calibri"/>
          <w:color w:val="000000"/>
          <w:shd w:val="clear" w:color="auto" w:fill="FFFFFF"/>
        </w:rPr>
        <w:t xml:space="preserve">Providing opportunities for tenants’ exemptions resources and engineering support to help fund the transitions. </w:t>
      </w:r>
    </w:p>
    <w:p w14:paraId="2157B9AC" w14:textId="3C21A369" w:rsidR="00B93EA0" w:rsidRDefault="006E47FA" w:rsidP="006E47FA">
      <w:pPr>
        <w:pStyle w:val="ListParagraph"/>
        <w:numPr>
          <w:ilvl w:val="1"/>
          <w:numId w:val="32"/>
        </w:numPr>
        <w:rPr>
          <w:rFonts w:ascii="Calibri" w:hAnsi="Calibri" w:cs="Calibri"/>
          <w:color w:val="000000"/>
          <w:shd w:val="clear" w:color="auto" w:fill="FFFFFF"/>
        </w:rPr>
      </w:pPr>
      <w:r>
        <w:rPr>
          <w:rFonts w:ascii="Calibri" w:hAnsi="Calibri" w:cs="Calibri"/>
          <w:color w:val="000000"/>
          <w:shd w:val="clear" w:color="auto" w:fill="FFFFFF"/>
        </w:rPr>
        <w:t>Overall, the infrastructure transition will be energy efficient, and cost effected for renters in the long run</w:t>
      </w:r>
    </w:p>
    <w:p w14:paraId="319FB7EB" w14:textId="46F3290D" w:rsidR="006E47FA" w:rsidRDefault="006E47FA" w:rsidP="006E47FA">
      <w:pPr>
        <w:pStyle w:val="ListParagraph"/>
        <w:numPr>
          <w:ilvl w:val="0"/>
          <w:numId w:val="32"/>
        </w:numPr>
        <w:rPr>
          <w:rFonts w:ascii="Calibri" w:hAnsi="Calibri" w:cs="Calibri"/>
          <w:color w:val="000000"/>
          <w:shd w:val="clear" w:color="auto" w:fill="FFFFFF"/>
        </w:rPr>
      </w:pPr>
      <w:r>
        <w:rPr>
          <w:rFonts w:ascii="Calibri" w:hAnsi="Calibri" w:cs="Calibri"/>
          <w:color w:val="000000"/>
          <w:shd w:val="clear" w:color="auto" w:fill="FFFFFF"/>
        </w:rPr>
        <w:t xml:space="preserve">Proposal policy will not mandate all cost-effective incentives and cool spaces for multi-family buildings. </w:t>
      </w:r>
    </w:p>
    <w:p w14:paraId="797AA917" w14:textId="6B024D87" w:rsidR="006E47FA" w:rsidRDefault="006E47FA" w:rsidP="006E47FA">
      <w:pPr>
        <w:pStyle w:val="ListParagraph"/>
        <w:numPr>
          <w:ilvl w:val="1"/>
          <w:numId w:val="32"/>
        </w:numPr>
        <w:rPr>
          <w:rFonts w:ascii="Calibri" w:hAnsi="Calibri" w:cs="Calibri"/>
          <w:color w:val="000000"/>
          <w:shd w:val="clear" w:color="auto" w:fill="FFFFFF"/>
        </w:rPr>
      </w:pPr>
      <w:r>
        <w:rPr>
          <w:rFonts w:ascii="Calibri" w:hAnsi="Calibri" w:cs="Calibri"/>
          <w:color w:val="000000"/>
          <w:shd w:val="clear" w:color="auto" w:fill="FFFFFF"/>
        </w:rPr>
        <w:t>Goal to approve living abilities for multi-family and reduce emissions quickly</w:t>
      </w:r>
    </w:p>
    <w:p w14:paraId="52651CDE" w14:textId="03B20E7D" w:rsidR="003C1A16" w:rsidRDefault="003C1A16" w:rsidP="006E47FA">
      <w:pPr>
        <w:pStyle w:val="ListParagraph"/>
        <w:numPr>
          <w:ilvl w:val="1"/>
          <w:numId w:val="32"/>
        </w:numPr>
        <w:rPr>
          <w:rFonts w:ascii="Calibri" w:hAnsi="Calibri" w:cs="Calibri"/>
          <w:color w:val="000000"/>
          <w:shd w:val="clear" w:color="auto" w:fill="FFFFFF"/>
        </w:rPr>
      </w:pPr>
      <w:r>
        <w:rPr>
          <w:rFonts w:ascii="Calibri" w:hAnsi="Calibri" w:cs="Calibri"/>
          <w:color w:val="000000"/>
          <w:shd w:val="clear" w:color="auto" w:fill="FFFFFF"/>
        </w:rPr>
        <w:t xml:space="preserve">SRC suggests inviting Seattle renters into the processing and community engagement practices. Sharing storytelling of renters and concerns to address the harms of </w:t>
      </w:r>
      <w:proofErr w:type="gramStart"/>
      <w:r>
        <w:rPr>
          <w:rFonts w:ascii="Calibri" w:hAnsi="Calibri" w:cs="Calibri"/>
          <w:color w:val="000000"/>
          <w:shd w:val="clear" w:color="auto" w:fill="FFFFFF"/>
        </w:rPr>
        <w:t>tenants</w:t>
      </w:r>
      <w:proofErr w:type="gramEnd"/>
      <w:r>
        <w:rPr>
          <w:rFonts w:ascii="Calibri" w:hAnsi="Calibri" w:cs="Calibri"/>
          <w:color w:val="000000"/>
          <w:shd w:val="clear" w:color="auto" w:fill="FFFFFF"/>
        </w:rPr>
        <w:t xml:space="preserve"> policies/laws/clauses due to rule making being focused on landlords and not tenants/renters.</w:t>
      </w:r>
    </w:p>
    <w:p w14:paraId="60E27A18" w14:textId="08E96BB6" w:rsidR="003C1A16" w:rsidRDefault="003C1A16" w:rsidP="006E47FA">
      <w:pPr>
        <w:pStyle w:val="ListParagraph"/>
        <w:numPr>
          <w:ilvl w:val="1"/>
          <w:numId w:val="32"/>
        </w:numPr>
        <w:rPr>
          <w:rFonts w:ascii="Calibri" w:hAnsi="Calibri" w:cs="Calibri"/>
          <w:color w:val="000000"/>
          <w:shd w:val="clear" w:color="auto" w:fill="FFFFFF"/>
        </w:rPr>
      </w:pPr>
      <w:r>
        <w:rPr>
          <w:rFonts w:ascii="Calibri" w:hAnsi="Calibri" w:cs="Calibri"/>
          <w:color w:val="000000"/>
          <w:shd w:val="clear" w:color="auto" w:fill="FFFFFF"/>
        </w:rPr>
        <w:t xml:space="preserve">Identify and address the bias that may play into the proposal strategies and solution process, partnering with active CBOs to get lived experience feedback for effective results. </w:t>
      </w:r>
    </w:p>
    <w:p w14:paraId="06E43F57" w14:textId="77777777" w:rsidR="006E47FA" w:rsidRPr="006E47FA" w:rsidRDefault="006E47FA" w:rsidP="006E47FA">
      <w:pPr>
        <w:pStyle w:val="ListParagraph"/>
        <w:ind w:left="1440"/>
        <w:rPr>
          <w:rFonts w:ascii="Calibri" w:hAnsi="Calibri" w:cs="Calibri"/>
          <w:color w:val="000000"/>
          <w:shd w:val="clear" w:color="auto" w:fill="FFFFFF"/>
        </w:rPr>
      </w:pPr>
    </w:p>
    <w:p w14:paraId="325C774C" w14:textId="7DE353AD" w:rsidR="00293AC4" w:rsidRDefault="002710C7" w:rsidP="002710C7">
      <w:pPr>
        <w:spacing w:after="0" w:line="240" w:lineRule="auto"/>
        <w:rPr>
          <w:b/>
        </w:rPr>
      </w:pPr>
      <w:r w:rsidRPr="002710C7">
        <w:rPr>
          <w:rFonts w:ascii="Calibri" w:eastAsia="Times New Roman" w:hAnsi="Calibri" w:cs="Calibri"/>
          <w:b/>
          <w:bCs/>
          <w:color w:val="000000"/>
        </w:rPr>
        <w:lastRenderedPageBreak/>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7147716F" w14:textId="77777777" w:rsidR="006F0A12" w:rsidRDefault="006F0A12" w:rsidP="00BA355B">
      <w:pPr>
        <w:spacing w:after="0" w:line="240" w:lineRule="auto"/>
        <w:rPr>
          <w:b/>
        </w:rPr>
      </w:pPr>
    </w:p>
    <w:p w14:paraId="5F621FCA" w14:textId="1CB1C565" w:rsidR="00374614" w:rsidRDefault="00132BCF" w:rsidP="008E4E29">
      <w:pPr>
        <w:spacing w:after="0" w:line="240" w:lineRule="auto"/>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r w:rsidRPr="002F4CDD">
        <w:rPr>
          <w:b/>
        </w:rPr>
        <w:t>Adjourn</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A00B" w14:textId="1EF10452" w:rsidR="005A0A19" w:rsidRPr="00354BFA" w:rsidRDefault="005A0A19" w:rsidP="0004502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08"/>
    <w:multiLevelType w:val="hybridMultilevel"/>
    <w:tmpl w:val="98DEE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75E99"/>
    <w:multiLevelType w:val="hybridMultilevel"/>
    <w:tmpl w:val="9C7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330"/>
    <w:multiLevelType w:val="hybridMultilevel"/>
    <w:tmpl w:val="09A07EB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E9130C"/>
    <w:multiLevelType w:val="hybridMultilevel"/>
    <w:tmpl w:val="EED64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A0E69"/>
    <w:multiLevelType w:val="hybridMultilevel"/>
    <w:tmpl w:val="07E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B82683"/>
    <w:multiLevelType w:val="hybridMultilevel"/>
    <w:tmpl w:val="AEDC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452C09"/>
    <w:multiLevelType w:val="hybridMultilevel"/>
    <w:tmpl w:val="13AC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84081"/>
    <w:multiLevelType w:val="hybridMultilevel"/>
    <w:tmpl w:val="C8C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D17F3"/>
    <w:multiLevelType w:val="hybridMultilevel"/>
    <w:tmpl w:val="E3CA3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0D1320"/>
    <w:multiLevelType w:val="hybridMultilevel"/>
    <w:tmpl w:val="DAD241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57A17"/>
    <w:multiLevelType w:val="hybridMultilevel"/>
    <w:tmpl w:val="1CCC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1322"/>
    <w:multiLevelType w:val="hybridMultilevel"/>
    <w:tmpl w:val="77AC6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E3A66"/>
    <w:multiLevelType w:val="hybridMultilevel"/>
    <w:tmpl w:val="45AE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14341"/>
    <w:multiLevelType w:val="hybridMultilevel"/>
    <w:tmpl w:val="9130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1017">
    <w:abstractNumId w:val="15"/>
  </w:num>
  <w:num w:numId="2" w16cid:durableId="498161593">
    <w:abstractNumId w:val="18"/>
  </w:num>
  <w:num w:numId="3" w16cid:durableId="2144999887">
    <w:abstractNumId w:val="3"/>
  </w:num>
  <w:num w:numId="4" w16cid:durableId="2065903995">
    <w:abstractNumId w:val="26"/>
  </w:num>
  <w:num w:numId="5" w16cid:durableId="1900938261">
    <w:abstractNumId w:val="31"/>
  </w:num>
  <w:num w:numId="6" w16cid:durableId="1125198425">
    <w:abstractNumId w:val="27"/>
  </w:num>
  <w:num w:numId="7" w16cid:durableId="331108024">
    <w:abstractNumId w:val="20"/>
  </w:num>
  <w:num w:numId="8" w16cid:durableId="1266813882">
    <w:abstractNumId w:val="14"/>
  </w:num>
  <w:num w:numId="9" w16cid:durableId="1956061030">
    <w:abstractNumId w:val="13"/>
  </w:num>
  <w:num w:numId="10" w16cid:durableId="1807116305">
    <w:abstractNumId w:val="7"/>
  </w:num>
  <w:num w:numId="11" w16cid:durableId="1581207537">
    <w:abstractNumId w:val="24"/>
  </w:num>
  <w:num w:numId="12" w16cid:durableId="949627742">
    <w:abstractNumId w:val="23"/>
  </w:num>
  <w:num w:numId="13" w16cid:durableId="1905408066">
    <w:abstractNumId w:val="9"/>
  </w:num>
  <w:num w:numId="14" w16cid:durableId="599221471">
    <w:abstractNumId w:val="25"/>
  </w:num>
  <w:num w:numId="15" w16cid:durableId="1303852030">
    <w:abstractNumId w:val="19"/>
  </w:num>
  <w:num w:numId="16" w16cid:durableId="8795448">
    <w:abstractNumId w:val="10"/>
  </w:num>
  <w:num w:numId="17" w16cid:durableId="1923485681">
    <w:abstractNumId w:val="4"/>
  </w:num>
  <w:num w:numId="18" w16cid:durableId="1350251557">
    <w:abstractNumId w:val="30"/>
  </w:num>
  <w:num w:numId="19" w16cid:durableId="1038046265">
    <w:abstractNumId w:val="12"/>
  </w:num>
  <w:num w:numId="20" w16cid:durableId="502164460">
    <w:abstractNumId w:val="1"/>
  </w:num>
  <w:num w:numId="21" w16cid:durableId="775907340">
    <w:abstractNumId w:val="21"/>
  </w:num>
  <w:num w:numId="22" w16cid:durableId="1970548739">
    <w:abstractNumId w:val="6"/>
  </w:num>
  <w:num w:numId="23" w16cid:durableId="1305811217">
    <w:abstractNumId w:val="29"/>
  </w:num>
  <w:num w:numId="24" w16cid:durableId="1107311170">
    <w:abstractNumId w:val="11"/>
  </w:num>
  <w:num w:numId="25" w16cid:durableId="239680418">
    <w:abstractNumId w:val="0"/>
  </w:num>
  <w:num w:numId="26" w16cid:durableId="1628662829">
    <w:abstractNumId w:val="22"/>
  </w:num>
  <w:num w:numId="27" w16cid:durableId="1038355655">
    <w:abstractNumId w:val="28"/>
  </w:num>
  <w:num w:numId="28" w16cid:durableId="707608256">
    <w:abstractNumId w:val="8"/>
  </w:num>
  <w:num w:numId="29" w16cid:durableId="54134795">
    <w:abstractNumId w:val="16"/>
  </w:num>
  <w:num w:numId="30" w16cid:durableId="2085834556">
    <w:abstractNumId w:val="2"/>
  </w:num>
  <w:num w:numId="31" w16cid:durableId="321355505">
    <w:abstractNumId w:val="17"/>
  </w:num>
  <w:num w:numId="32" w16cid:durableId="556204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sFAIwxEdstAAAA"/>
  </w:docVars>
  <w:rsids>
    <w:rsidRoot w:val="00A54DE8"/>
    <w:rsid w:val="000153A3"/>
    <w:rsid w:val="00045024"/>
    <w:rsid w:val="00064E3F"/>
    <w:rsid w:val="000667C7"/>
    <w:rsid w:val="00070560"/>
    <w:rsid w:val="00073675"/>
    <w:rsid w:val="00076929"/>
    <w:rsid w:val="00087B77"/>
    <w:rsid w:val="000928EF"/>
    <w:rsid w:val="000A0471"/>
    <w:rsid w:val="000A7625"/>
    <w:rsid w:val="000D316F"/>
    <w:rsid w:val="000E1456"/>
    <w:rsid w:val="000F179C"/>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25B2"/>
    <w:rsid w:val="001C3487"/>
    <w:rsid w:val="001D5879"/>
    <w:rsid w:val="001E3AEA"/>
    <w:rsid w:val="00203615"/>
    <w:rsid w:val="0022597E"/>
    <w:rsid w:val="00263A26"/>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961AF"/>
    <w:rsid w:val="003A65DA"/>
    <w:rsid w:val="003B5D20"/>
    <w:rsid w:val="003C1A16"/>
    <w:rsid w:val="003C3018"/>
    <w:rsid w:val="003C641A"/>
    <w:rsid w:val="003D11E1"/>
    <w:rsid w:val="003D34F2"/>
    <w:rsid w:val="003F3413"/>
    <w:rsid w:val="004137D6"/>
    <w:rsid w:val="004256CF"/>
    <w:rsid w:val="004310C7"/>
    <w:rsid w:val="004322E5"/>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173C6"/>
    <w:rsid w:val="00523CA6"/>
    <w:rsid w:val="00527DAD"/>
    <w:rsid w:val="00533C1F"/>
    <w:rsid w:val="00546E28"/>
    <w:rsid w:val="00563DB6"/>
    <w:rsid w:val="0056704E"/>
    <w:rsid w:val="00573EF1"/>
    <w:rsid w:val="00587419"/>
    <w:rsid w:val="005954BB"/>
    <w:rsid w:val="005A0A19"/>
    <w:rsid w:val="005A33DA"/>
    <w:rsid w:val="005A3AAF"/>
    <w:rsid w:val="005D6333"/>
    <w:rsid w:val="005E377B"/>
    <w:rsid w:val="005E6924"/>
    <w:rsid w:val="005F745E"/>
    <w:rsid w:val="0061108F"/>
    <w:rsid w:val="0063415C"/>
    <w:rsid w:val="0064019C"/>
    <w:rsid w:val="00640971"/>
    <w:rsid w:val="00645DA8"/>
    <w:rsid w:val="00654D03"/>
    <w:rsid w:val="00682ADC"/>
    <w:rsid w:val="00692E6D"/>
    <w:rsid w:val="006A47FE"/>
    <w:rsid w:val="006A7FA8"/>
    <w:rsid w:val="006C6179"/>
    <w:rsid w:val="006D4BE6"/>
    <w:rsid w:val="006E47FA"/>
    <w:rsid w:val="006F0A12"/>
    <w:rsid w:val="006F2450"/>
    <w:rsid w:val="007031FF"/>
    <w:rsid w:val="00706748"/>
    <w:rsid w:val="007246DA"/>
    <w:rsid w:val="00733537"/>
    <w:rsid w:val="00737F22"/>
    <w:rsid w:val="007436D7"/>
    <w:rsid w:val="007578CF"/>
    <w:rsid w:val="0076147F"/>
    <w:rsid w:val="00761ECB"/>
    <w:rsid w:val="007626CE"/>
    <w:rsid w:val="007629C6"/>
    <w:rsid w:val="007940B3"/>
    <w:rsid w:val="00795ED6"/>
    <w:rsid w:val="007A3BA1"/>
    <w:rsid w:val="007D129C"/>
    <w:rsid w:val="007F00B4"/>
    <w:rsid w:val="00810B8D"/>
    <w:rsid w:val="0081190A"/>
    <w:rsid w:val="0081326B"/>
    <w:rsid w:val="00813986"/>
    <w:rsid w:val="0082498B"/>
    <w:rsid w:val="008302FB"/>
    <w:rsid w:val="008303BF"/>
    <w:rsid w:val="00830BAB"/>
    <w:rsid w:val="00854492"/>
    <w:rsid w:val="00862C85"/>
    <w:rsid w:val="008873FA"/>
    <w:rsid w:val="00894E78"/>
    <w:rsid w:val="008C13CB"/>
    <w:rsid w:val="008E4E29"/>
    <w:rsid w:val="008F32BB"/>
    <w:rsid w:val="008F6D11"/>
    <w:rsid w:val="00947BC3"/>
    <w:rsid w:val="0095021D"/>
    <w:rsid w:val="00957556"/>
    <w:rsid w:val="00970CDE"/>
    <w:rsid w:val="00985009"/>
    <w:rsid w:val="00985159"/>
    <w:rsid w:val="00986F10"/>
    <w:rsid w:val="009A65FC"/>
    <w:rsid w:val="009B4421"/>
    <w:rsid w:val="009B4B29"/>
    <w:rsid w:val="009C64D0"/>
    <w:rsid w:val="009C6AFF"/>
    <w:rsid w:val="009D1BA7"/>
    <w:rsid w:val="009E6118"/>
    <w:rsid w:val="009F0A44"/>
    <w:rsid w:val="009F2743"/>
    <w:rsid w:val="009F3E5F"/>
    <w:rsid w:val="00A0706B"/>
    <w:rsid w:val="00A14D6D"/>
    <w:rsid w:val="00A33D21"/>
    <w:rsid w:val="00A350D2"/>
    <w:rsid w:val="00A44A37"/>
    <w:rsid w:val="00A5180B"/>
    <w:rsid w:val="00A54DE8"/>
    <w:rsid w:val="00A630A1"/>
    <w:rsid w:val="00A67E8B"/>
    <w:rsid w:val="00A80DE3"/>
    <w:rsid w:val="00A87A46"/>
    <w:rsid w:val="00A94FFB"/>
    <w:rsid w:val="00A968F2"/>
    <w:rsid w:val="00A96F0A"/>
    <w:rsid w:val="00AC1962"/>
    <w:rsid w:val="00AC4E3F"/>
    <w:rsid w:val="00AD30F9"/>
    <w:rsid w:val="00AE2AA5"/>
    <w:rsid w:val="00B0494E"/>
    <w:rsid w:val="00B206FF"/>
    <w:rsid w:val="00B25264"/>
    <w:rsid w:val="00B35246"/>
    <w:rsid w:val="00B354CE"/>
    <w:rsid w:val="00B630F5"/>
    <w:rsid w:val="00B84002"/>
    <w:rsid w:val="00B93EA0"/>
    <w:rsid w:val="00B96B7B"/>
    <w:rsid w:val="00BA355B"/>
    <w:rsid w:val="00BB0954"/>
    <w:rsid w:val="00BB32AE"/>
    <w:rsid w:val="00BC0ABE"/>
    <w:rsid w:val="00BE43CE"/>
    <w:rsid w:val="00BF2B51"/>
    <w:rsid w:val="00BF705F"/>
    <w:rsid w:val="00BF7172"/>
    <w:rsid w:val="00C01809"/>
    <w:rsid w:val="00C23593"/>
    <w:rsid w:val="00C27D55"/>
    <w:rsid w:val="00C459D1"/>
    <w:rsid w:val="00C500FB"/>
    <w:rsid w:val="00C504AC"/>
    <w:rsid w:val="00C548A1"/>
    <w:rsid w:val="00C65693"/>
    <w:rsid w:val="00C66E6D"/>
    <w:rsid w:val="00C71D9C"/>
    <w:rsid w:val="00C733AF"/>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4430E"/>
    <w:rsid w:val="00E71A22"/>
    <w:rsid w:val="00E71ABA"/>
    <w:rsid w:val="00E80BFD"/>
    <w:rsid w:val="00E820B6"/>
    <w:rsid w:val="00E836D3"/>
    <w:rsid w:val="00E85A57"/>
    <w:rsid w:val="00E86A4B"/>
    <w:rsid w:val="00E870B4"/>
    <w:rsid w:val="00EC0FF9"/>
    <w:rsid w:val="00EC1362"/>
    <w:rsid w:val="00EC3723"/>
    <w:rsid w:val="00ED6D1C"/>
    <w:rsid w:val="00EE589F"/>
    <w:rsid w:val="00F26E0C"/>
    <w:rsid w:val="00F270C6"/>
    <w:rsid w:val="00F40915"/>
    <w:rsid w:val="00F511F7"/>
    <w:rsid w:val="00F674AF"/>
    <w:rsid w:val="00F87FF7"/>
    <w:rsid w:val="00FA66F4"/>
    <w:rsid w:val="00FC399C"/>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42345408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Williams, Dominique</cp:lastModifiedBy>
  <cp:revision>3</cp:revision>
  <cp:lastPrinted>2020-05-29T18:18:00Z</cp:lastPrinted>
  <dcterms:created xsi:type="dcterms:W3CDTF">2023-01-20T01:54:00Z</dcterms:created>
  <dcterms:modified xsi:type="dcterms:W3CDTF">2023-01-20T02:19:00Z</dcterms:modified>
</cp:coreProperties>
</file>