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79" w14:textId="501ADBC5" w:rsidR="00132BCF" w:rsidRPr="00301AE3" w:rsidRDefault="00132BCF" w:rsidP="00F511F7">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r w:rsidR="00F511F7">
        <w:rPr>
          <w:b/>
          <w:sz w:val="28"/>
          <w:szCs w:val="28"/>
        </w:rPr>
        <w:t xml:space="preserve"> </w:t>
      </w:r>
      <w:r w:rsidR="00E71ABA">
        <w:rPr>
          <w:b/>
          <w:sz w:val="28"/>
          <w:szCs w:val="28"/>
        </w:rPr>
        <w:t>MINUTES</w:t>
      </w:r>
    </w:p>
    <w:p w14:paraId="67AF1BA2" w14:textId="2C496EC3" w:rsidR="00132BCF" w:rsidRPr="000E1456" w:rsidRDefault="00FB2D9B" w:rsidP="00132BCF">
      <w:pPr>
        <w:spacing w:before="40" w:after="0" w:line="240" w:lineRule="auto"/>
        <w:jc w:val="center"/>
        <w:rPr>
          <w:sz w:val="24"/>
          <w:szCs w:val="24"/>
        </w:rPr>
      </w:pPr>
      <w:r>
        <w:rPr>
          <w:sz w:val="24"/>
          <w:szCs w:val="24"/>
        </w:rPr>
        <w:t>September 12, 2022</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08CECC9A" w14:textId="77777777" w:rsidR="005173C6" w:rsidRDefault="005173C6" w:rsidP="005173C6">
      <w:pPr>
        <w:spacing w:after="0" w:line="240" w:lineRule="auto"/>
        <w:rPr>
          <w:rFonts w:ascii="Calibri" w:eastAsia="Times New Roman" w:hAnsi="Calibri" w:cs="Calibri"/>
        </w:rPr>
      </w:pPr>
    </w:p>
    <w:p w14:paraId="51875898" w14:textId="0A90DF83" w:rsidR="005173C6" w:rsidRDefault="005173C6" w:rsidP="005173C6">
      <w:pPr>
        <w:spacing w:after="0" w:line="240" w:lineRule="auto"/>
        <w:rPr>
          <w:rFonts w:ascii="Calibri" w:eastAsia="Times New Roman" w:hAnsi="Calibri" w:cs="Calibri"/>
        </w:rPr>
      </w:pPr>
      <w:r>
        <w:rPr>
          <w:rFonts w:ascii="Calibri" w:eastAsia="Times New Roman" w:hAnsi="Calibri" w:cs="Calibri"/>
        </w:rPr>
        <w:t>In attendance: Arianna Laureano, Kim McGillivray, Dan Godfrey, Tim Guy</w:t>
      </w:r>
      <w:r w:rsidR="00FB2D9B">
        <w:rPr>
          <w:rFonts w:ascii="Calibri" w:eastAsia="Times New Roman" w:hAnsi="Calibri" w:cs="Calibri"/>
        </w:rPr>
        <w:t xml:space="preserve">, Gina Owens, </w:t>
      </w:r>
      <w:proofErr w:type="spellStart"/>
      <w:r w:rsidR="00FB2D9B">
        <w:rPr>
          <w:rFonts w:ascii="Calibri" w:eastAsia="Times New Roman" w:hAnsi="Calibri" w:cs="Calibri"/>
        </w:rPr>
        <w:t>ChrisTiana</w:t>
      </w:r>
      <w:proofErr w:type="spellEnd"/>
      <w:r w:rsidR="00FB2D9B">
        <w:rPr>
          <w:rFonts w:ascii="Calibri" w:eastAsia="Times New Roman" w:hAnsi="Calibri" w:cs="Calibri"/>
        </w:rPr>
        <w:t xml:space="preserve"> </w:t>
      </w:r>
      <w:proofErr w:type="spellStart"/>
      <w:r w:rsidR="00FB2D9B">
        <w:rPr>
          <w:rFonts w:ascii="Calibri" w:eastAsia="Times New Roman" w:hAnsi="Calibri" w:cs="Calibri"/>
        </w:rPr>
        <w:t>ObeySumner</w:t>
      </w:r>
      <w:proofErr w:type="spellEnd"/>
      <w:r w:rsidR="00FB2D9B">
        <w:rPr>
          <w:rFonts w:ascii="Calibri" w:eastAsia="Times New Roman" w:hAnsi="Calibri" w:cs="Calibri"/>
        </w:rPr>
        <w:t>, Dinah Braccio</w:t>
      </w:r>
    </w:p>
    <w:p w14:paraId="505EA98B" w14:textId="77777777" w:rsidR="005173C6" w:rsidRDefault="005173C6" w:rsidP="005173C6">
      <w:pPr>
        <w:spacing w:after="0" w:line="240" w:lineRule="auto"/>
        <w:rPr>
          <w:rFonts w:ascii="Calibri" w:eastAsia="Times New Roman" w:hAnsi="Calibri" w:cs="Calibri"/>
        </w:rPr>
      </w:pPr>
      <w:r>
        <w:rPr>
          <w:rFonts w:ascii="Calibri" w:eastAsia="Times New Roman" w:hAnsi="Calibri" w:cs="Calibri"/>
        </w:rPr>
        <w:t>Staff: Alexis Izor</w:t>
      </w:r>
    </w:p>
    <w:p w14:paraId="0E2F8ED6" w14:textId="77777777" w:rsidR="005173C6" w:rsidRDefault="005173C6" w:rsidP="00132BCF">
      <w:pPr>
        <w:spacing w:after="0" w:line="240" w:lineRule="auto"/>
        <w:rPr>
          <w:sz w:val="24"/>
          <w:szCs w:val="24"/>
        </w:rPr>
      </w:pPr>
    </w:p>
    <w:p w14:paraId="415FE848" w14:textId="008BDD82" w:rsidR="00CF71A0" w:rsidRPr="005173C6" w:rsidRDefault="002710C7" w:rsidP="002710C7">
      <w:pPr>
        <w:spacing w:after="0" w:line="240" w:lineRule="auto"/>
        <w:rPr>
          <w:rFonts w:ascii="Times New Roman" w:eastAsia="Times New Roman" w:hAnsi="Times New Roman" w:cs="Times New Roman"/>
          <w:sz w:val="24"/>
          <w:szCs w:val="24"/>
        </w:rPr>
      </w:pPr>
      <w:r w:rsidRPr="002710C7">
        <w:rPr>
          <w:rFonts w:ascii="Calibri" w:eastAsia="Times New Roman" w:hAnsi="Calibri" w:cs="Calibri"/>
          <w:b/>
          <w:bCs/>
          <w:color w:val="000000"/>
        </w:rPr>
        <w:t>Welcom</w:t>
      </w:r>
      <w:r w:rsidR="00CF71A0">
        <w:rPr>
          <w:rFonts w:ascii="Calibri" w:eastAsia="Times New Roman" w:hAnsi="Calibri" w:cs="Calibri"/>
          <w:b/>
          <w:bCs/>
          <w:color w:val="000000"/>
        </w:rPr>
        <w:t>e</w:t>
      </w:r>
      <w:r w:rsidR="00BB0954">
        <w:rPr>
          <w:rFonts w:ascii="Calibri" w:eastAsia="Times New Roman" w:hAnsi="Calibri" w:cs="Calibri"/>
          <w:b/>
          <w:bCs/>
          <w:color w:val="000000"/>
        </w:rPr>
        <w:t xml:space="preserve"> and Announcements</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CF71A0">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BB0954">
        <w:rPr>
          <w:rFonts w:ascii="Calibri" w:eastAsia="Times New Roman" w:hAnsi="Calibri" w:cs="Calibri"/>
          <w:b/>
          <w:bCs/>
          <w:color w:val="000000"/>
        </w:rPr>
        <w:tab/>
      </w:r>
    </w:p>
    <w:p w14:paraId="66C253D5" w14:textId="77777777" w:rsidR="00FB2D9B" w:rsidRDefault="00FB2D9B" w:rsidP="006F0A12">
      <w:pPr>
        <w:spacing w:after="0" w:line="240" w:lineRule="auto"/>
        <w:rPr>
          <w:rFonts w:ascii="Calibri" w:eastAsia="Times New Roman" w:hAnsi="Calibri" w:cs="Calibri"/>
          <w:b/>
          <w:bCs/>
          <w:color w:val="000000"/>
        </w:rPr>
      </w:pPr>
    </w:p>
    <w:p w14:paraId="1C9299DB" w14:textId="72DB6BC5" w:rsidR="006F0A12" w:rsidRPr="002710C7" w:rsidRDefault="00AE2AA5" w:rsidP="006F0A12">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36AF8122" w14:textId="023CC106" w:rsidR="00FB2D9B" w:rsidRPr="009F26A2" w:rsidRDefault="009F26A2" w:rsidP="008E4E29">
      <w:pPr>
        <w:rPr>
          <w:rFonts w:ascii="Calibri" w:hAnsi="Calibri" w:cs="Calibri"/>
          <w:color w:val="000000"/>
          <w:shd w:val="clear" w:color="auto" w:fill="FFFFFF"/>
        </w:rPr>
      </w:pPr>
      <w:r w:rsidRPr="009F26A2">
        <w:rPr>
          <w:rFonts w:ascii="Calibri" w:hAnsi="Calibri" w:cs="Calibri"/>
          <w:color w:val="000000"/>
          <w:shd w:val="clear" w:color="auto" w:fill="FFFFFF"/>
        </w:rPr>
        <w:t>No public comment for this meeting</w:t>
      </w:r>
    </w:p>
    <w:p w14:paraId="604B4518" w14:textId="4817088A" w:rsidR="008E4E29" w:rsidRPr="008E4E29" w:rsidRDefault="00BB0954" w:rsidP="008E4E29">
      <w:pPr>
        <w:rPr>
          <w:rFonts w:ascii="Calibri" w:hAnsi="Calibri" w:cs="Calibri"/>
          <w:color w:val="000000"/>
          <w:shd w:val="clear" w:color="auto" w:fill="FFFFFF"/>
        </w:rPr>
      </w:pPr>
      <w:r w:rsidRPr="008E4E29">
        <w:rPr>
          <w:rFonts w:ascii="Calibri" w:hAnsi="Calibri" w:cs="Calibri"/>
          <w:b/>
          <w:bCs/>
          <w:color w:val="000000"/>
          <w:shd w:val="clear" w:color="auto" w:fill="FFFFFF"/>
        </w:rPr>
        <w:t>Workgroup Meeting Times</w:t>
      </w:r>
      <w:r w:rsidR="000A0471" w:rsidRPr="008E4E29">
        <w:rPr>
          <w:rFonts w:ascii="Calibri" w:hAnsi="Calibri" w:cs="Calibri"/>
          <w:b/>
          <w:bCs/>
          <w:color w:val="000000"/>
          <w:shd w:val="clear" w:color="auto" w:fill="FFFFFF"/>
        </w:rPr>
        <w:tab/>
      </w:r>
    </w:p>
    <w:p w14:paraId="387A2B3B" w14:textId="2451C402" w:rsidR="008E4E29" w:rsidRDefault="00FB2D9B" w:rsidP="00FB2D9B">
      <w:pPr>
        <w:pStyle w:val="ListParagraph"/>
        <w:numPr>
          <w:ilvl w:val="0"/>
          <w:numId w:val="26"/>
        </w:numPr>
        <w:rPr>
          <w:rFonts w:ascii="Calibri" w:hAnsi="Calibri" w:cs="Calibri"/>
          <w:color w:val="000000"/>
          <w:shd w:val="clear" w:color="auto" w:fill="FFFFFF"/>
        </w:rPr>
      </w:pPr>
      <w:r>
        <w:rPr>
          <w:rFonts w:ascii="Calibri" w:hAnsi="Calibri" w:cs="Calibri"/>
          <w:color w:val="000000"/>
          <w:shd w:val="clear" w:color="auto" w:fill="FFFFFF"/>
        </w:rPr>
        <w:t xml:space="preserve">SRC History </w:t>
      </w:r>
      <w:r w:rsidRPr="00FB2D9B">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Endorsing Olympia Government Officials to speak on Seattle Renters and Tenant laws. </w:t>
      </w:r>
    </w:p>
    <w:p w14:paraId="6FD95146" w14:textId="393EDF23" w:rsidR="00FB2D9B" w:rsidRDefault="00FB2D9B" w:rsidP="00FB2D9B">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 xml:space="preserve">SRC has the power to advise City Government and the Mayors Office by writing letters and meeting with government officials. </w:t>
      </w:r>
    </w:p>
    <w:p w14:paraId="3C03024E" w14:textId="5F62A304" w:rsidR="00FB2D9B" w:rsidRDefault="00FB2D9B" w:rsidP="00FB2D9B">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SRC hasn’t addressed bylaws, the commissioners will review and discuss past letters re: budget funding and Seattle renters’ laws</w:t>
      </w:r>
    </w:p>
    <w:p w14:paraId="0A4DE567" w14:textId="15005F88" w:rsidR="00FB2D9B" w:rsidRDefault="00FB2D9B" w:rsidP="00FB2D9B">
      <w:pPr>
        <w:pStyle w:val="ListParagraph"/>
        <w:numPr>
          <w:ilvl w:val="2"/>
          <w:numId w:val="26"/>
        </w:numPr>
        <w:rPr>
          <w:rFonts w:ascii="Calibri" w:hAnsi="Calibri" w:cs="Calibri"/>
          <w:color w:val="000000"/>
          <w:shd w:val="clear" w:color="auto" w:fill="FFFFFF"/>
        </w:rPr>
      </w:pPr>
      <w:r>
        <w:rPr>
          <w:rFonts w:ascii="Calibri" w:hAnsi="Calibri" w:cs="Calibri"/>
          <w:color w:val="000000"/>
          <w:shd w:val="clear" w:color="auto" w:fill="FFFFFF"/>
        </w:rPr>
        <w:t>SRC agree to focus on dividing workloads and review bylaws to prepare for 2023 budget</w:t>
      </w:r>
    </w:p>
    <w:p w14:paraId="4A5DA79E" w14:textId="40B1D1B0" w:rsidR="00FB2D9B" w:rsidRDefault="00FB2D9B" w:rsidP="00FB2D9B">
      <w:pPr>
        <w:pStyle w:val="ListParagraph"/>
        <w:numPr>
          <w:ilvl w:val="2"/>
          <w:numId w:val="26"/>
        </w:numPr>
        <w:rPr>
          <w:rFonts w:ascii="Calibri" w:hAnsi="Calibri" w:cs="Calibri"/>
          <w:color w:val="000000"/>
          <w:shd w:val="clear" w:color="auto" w:fill="FFFFFF"/>
        </w:rPr>
      </w:pPr>
      <w:r>
        <w:rPr>
          <w:rFonts w:ascii="Calibri" w:hAnsi="Calibri" w:cs="Calibri"/>
          <w:color w:val="000000"/>
          <w:shd w:val="clear" w:color="auto" w:fill="FFFFFF"/>
        </w:rPr>
        <w:t>DON (Alexis) will send all prior budget letters to the commissioners to review and revise for 2023 budget proposal letter</w:t>
      </w:r>
    </w:p>
    <w:p w14:paraId="78423C77" w14:textId="3D227AB6" w:rsidR="00FB2D9B" w:rsidRDefault="009F26A2" w:rsidP="009F26A2">
      <w:pPr>
        <w:pStyle w:val="ListParagraph"/>
        <w:numPr>
          <w:ilvl w:val="2"/>
          <w:numId w:val="26"/>
        </w:numPr>
        <w:rPr>
          <w:rFonts w:ascii="Calibri" w:hAnsi="Calibri" w:cs="Calibri"/>
          <w:color w:val="000000"/>
          <w:shd w:val="clear" w:color="auto" w:fill="FFFFFF"/>
        </w:rPr>
      </w:pPr>
      <w:r>
        <w:rPr>
          <w:rFonts w:ascii="Calibri" w:hAnsi="Calibri" w:cs="Calibri"/>
          <w:color w:val="000000"/>
          <w:shd w:val="clear" w:color="auto" w:fill="FFFFFF"/>
        </w:rPr>
        <w:t>Reorganize the SRC team goals and strategies around the bylaws to keep everyone on the same page</w:t>
      </w:r>
    </w:p>
    <w:p w14:paraId="6ECA7B9F" w14:textId="51E3B67F" w:rsidR="009F26A2" w:rsidRDefault="009F26A2" w:rsidP="009F26A2">
      <w:pPr>
        <w:pStyle w:val="ListParagraph"/>
        <w:numPr>
          <w:ilvl w:val="0"/>
          <w:numId w:val="26"/>
        </w:numPr>
        <w:rPr>
          <w:rFonts w:ascii="Calibri" w:hAnsi="Calibri" w:cs="Calibri"/>
          <w:color w:val="000000"/>
          <w:shd w:val="clear" w:color="auto" w:fill="FFFFFF"/>
        </w:rPr>
      </w:pPr>
      <w:r>
        <w:rPr>
          <w:rFonts w:ascii="Calibri" w:hAnsi="Calibri" w:cs="Calibri"/>
          <w:color w:val="000000"/>
          <w:shd w:val="clear" w:color="auto" w:fill="FFFFFF"/>
        </w:rPr>
        <w:t>SRC Work groups: Finalizing committee group capacity</w:t>
      </w:r>
      <w:r w:rsidR="003710DD">
        <w:rPr>
          <w:rFonts w:ascii="Calibri" w:hAnsi="Calibri" w:cs="Calibri"/>
          <w:color w:val="000000"/>
          <w:shd w:val="clear" w:color="auto" w:fill="FFFFFF"/>
        </w:rPr>
        <w:t xml:space="preserve"> and work group sessions updates</w:t>
      </w:r>
    </w:p>
    <w:p w14:paraId="6ECEA986" w14:textId="2812002C" w:rsidR="009F26A2" w:rsidRDefault="009F26A2" w:rsidP="009F26A2">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 xml:space="preserve">Outreach </w:t>
      </w:r>
      <w:r w:rsidRPr="009F26A2">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Gina Owens, Max McGregor, Laurie Golf, Dan Godfrey</w:t>
      </w:r>
    </w:p>
    <w:p w14:paraId="4A432992" w14:textId="31F265A2" w:rsidR="009F26A2" w:rsidRDefault="009F26A2" w:rsidP="009F26A2">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 xml:space="preserve">DEI </w:t>
      </w:r>
      <w:r w:rsidRPr="009F26A2">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Gina Owens, Mac McGregor, Arianna Laureano</w:t>
      </w:r>
    </w:p>
    <w:p w14:paraId="66216AA3" w14:textId="391BB5B5" w:rsidR="009F26A2" w:rsidRDefault="009F26A2" w:rsidP="009F26A2">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 xml:space="preserve">Housing Supply </w:t>
      </w:r>
      <w:r w:rsidRPr="009F26A2">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Dinah Braccio, Laurie Golf, Haley, Tim Guy</w:t>
      </w:r>
    </w:p>
    <w:p w14:paraId="1251016E" w14:textId="77777777" w:rsidR="009F26A2" w:rsidRDefault="009F26A2" w:rsidP="009F26A2">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 xml:space="preserve">Tenant Protections </w:t>
      </w:r>
      <w:r w:rsidRPr="009F26A2">
        <w:rPr>
          <w:rFonts w:ascii="Calibri" w:hAnsi="Calibri" w:cs="Calibri"/>
          <w:color w:val="000000"/>
          <w:shd w:val="clear" w:color="auto" w:fill="FFFFFF"/>
        </w:rPr>
        <w:sym w:font="Wingdings" w:char="F0E0"/>
      </w:r>
      <w:r>
        <w:rPr>
          <w:rFonts w:ascii="Calibri" w:hAnsi="Calibri" w:cs="Calibri"/>
          <w:color w:val="000000"/>
          <w:shd w:val="clear" w:color="auto" w:fill="FFFFFF"/>
        </w:rPr>
        <w:t xml:space="preserve"> Kim McGillivray, Char Smith, Haley, Arianna Laureano</w:t>
      </w:r>
    </w:p>
    <w:p w14:paraId="46457D45" w14:textId="77777777" w:rsidR="009F26A2" w:rsidRPr="009F26A2" w:rsidRDefault="009F26A2" w:rsidP="009F26A2">
      <w:pPr>
        <w:pStyle w:val="ListParagraph"/>
        <w:ind w:left="2160"/>
        <w:rPr>
          <w:rFonts w:ascii="Calibri" w:hAnsi="Calibri" w:cs="Calibri"/>
          <w:color w:val="000000"/>
          <w:shd w:val="clear" w:color="auto" w:fill="FFFFFF"/>
        </w:rPr>
      </w:pPr>
    </w:p>
    <w:p w14:paraId="56C9A941" w14:textId="364A73B8" w:rsidR="00692E6D" w:rsidRPr="003710DD" w:rsidRDefault="002710C7" w:rsidP="003710DD">
      <w:pPr>
        <w:spacing w:after="0" w:line="240" w:lineRule="auto"/>
        <w:rPr>
          <w:b/>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7147716F" w14:textId="77777777" w:rsidR="006F0A12" w:rsidRDefault="006F0A12" w:rsidP="00BA355B">
      <w:pPr>
        <w:spacing w:after="0" w:line="240" w:lineRule="auto"/>
        <w:rPr>
          <w:b/>
        </w:rPr>
      </w:pPr>
    </w:p>
    <w:p w14:paraId="5F621FCA" w14:textId="1CB1C565" w:rsidR="00374614" w:rsidRDefault="00132BCF" w:rsidP="008E4E29">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t>Adjourn</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00B" w14:textId="1EF10452" w:rsidR="005A0A19" w:rsidRPr="00354BFA" w:rsidRDefault="005A0A19" w:rsidP="0004502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08"/>
    <w:multiLevelType w:val="hybridMultilevel"/>
    <w:tmpl w:val="98DEE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E99"/>
    <w:multiLevelType w:val="hybridMultilevel"/>
    <w:tmpl w:val="9C7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5A0E69"/>
    <w:multiLevelType w:val="hybridMultilevel"/>
    <w:tmpl w:val="07E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452C09"/>
    <w:multiLevelType w:val="hybridMultilevel"/>
    <w:tmpl w:val="13A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081"/>
    <w:multiLevelType w:val="hybridMultilevel"/>
    <w:tmpl w:val="C8C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B7392"/>
    <w:multiLevelType w:val="hybridMultilevel"/>
    <w:tmpl w:val="11F6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341"/>
    <w:multiLevelType w:val="hybridMultilevel"/>
    <w:tmpl w:val="9130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1017">
    <w:abstractNumId w:val="13"/>
  </w:num>
  <w:num w:numId="2" w16cid:durableId="498161593">
    <w:abstractNumId w:val="14"/>
  </w:num>
  <w:num w:numId="3" w16cid:durableId="2144999887">
    <w:abstractNumId w:val="2"/>
  </w:num>
  <w:num w:numId="4" w16cid:durableId="2065903995">
    <w:abstractNumId w:val="21"/>
  </w:num>
  <w:num w:numId="5" w16cid:durableId="1900938261">
    <w:abstractNumId w:val="25"/>
  </w:num>
  <w:num w:numId="6" w16cid:durableId="1125198425">
    <w:abstractNumId w:val="22"/>
  </w:num>
  <w:num w:numId="7" w16cid:durableId="331108024">
    <w:abstractNumId w:val="16"/>
  </w:num>
  <w:num w:numId="8" w16cid:durableId="1266813882">
    <w:abstractNumId w:val="12"/>
  </w:num>
  <w:num w:numId="9" w16cid:durableId="1956061030">
    <w:abstractNumId w:val="11"/>
  </w:num>
  <w:num w:numId="10" w16cid:durableId="1807116305">
    <w:abstractNumId w:val="5"/>
  </w:num>
  <w:num w:numId="11" w16cid:durableId="1581207537">
    <w:abstractNumId w:val="19"/>
  </w:num>
  <w:num w:numId="12" w16cid:durableId="949627742">
    <w:abstractNumId w:val="18"/>
  </w:num>
  <w:num w:numId="13" w16cid:durableId="1905408066">
    <w:abstractNumId w:val="6"/>
  </w:num>
  <w:num w:numId="14" w16cid:durableId="599221471">
    <w:abstractNumId w:val="20"/>
  </w:num>
  <w:num w:numId="15" w16cid:durableId="1303852030">
    <w:abstractNumId w:val="15"/>
  </w:num>
  <w:num w:numId="16" w16cid:durableId="8795448">
    <w:abstractNumId w:val="7"/>
  </w:num>
  <w:num w:numId="17" w16cid:durableId="1923485681">
    <w:abstractNumId w:val="3"/>
  </w:num>
  <w:num w:numId="18" w16cid:durableId="1350251557">
    <w:abstractNumId w:val="24"/>
  </w:num>
  <w:num w:numId="19" w16cid:durableId="1038046265">
    <w:abstractNumId w:val="9"/>
  </w:num>
  <w:num w:numId="20" w16cid:durableId="502164460">
    <w:abstractNumId w:val="1"/>
  </w:num>
  <w:num w:numId="21" w16cid:durableId="775907340">
    <w:abstractNumId w:val="17"/>
  </w:num>
  <w:num w:numId="22" w16cid:durableId="1970548739">
    <w:abstractNumId w:val="4"/>
  </w:num>
  <w:num w:numId="23" w16cid:durableId="1305811217">
    <w:abstractNumId w:val="23"/>
  </w:num>
  <w:num w:numId="24" w16cid:durableId="1107311170">
    <w:abstractNumId w:val="8"/>
  </w:num>
  <w:num w:numId="25" w16cid:durableId="239680418">
    <w:abstractNumId w:val="0"/>
  </w:num>
  <w:num w:numId="26" w16cid:durableId="411391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sFAIwxEdstAAAA"/>
  </w:docVars>
  <w:rsids>
    <w:rsidRoot w:val="00A54DE8"/>
    <w:rsid w:val="000153A3"/>
    <w:rsid w:val="00027BFE"/>
    <w:rsid w:val="00045024"/>
    <w:rsid w:val="00064E3F"/>
    <w:rsid w:val="000667C7"/>
    <w:rsid w:val="00070560"/>
    <w:rsid w:val="00073675"/>
    <w:rsid w:val="00076929"/>
    <w:rsid w:val="00087B77"/>
    <w:rsid w:val="000928EF"/>
    <w:rsid w:val="000A0471"/>
    <w:rsid w:val="000A7625"/>
    <w:rsid w:val="000D316F"/>
    <w:rsid w:val="000E1456"/>
    <w:rsid w:val="000F179C"/>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25B2"/>
    <w:rsid w:val="001C3487"/>
    <w:rsid w:val="001D5879"/>
    <w:rsid w:val="001E3AEA"/>
    <w:rsid w:val="00203615"/>
    <w:rsid w:val="0022597E"/>
    <w:rsid w:val="00263A26"/>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10DD"/>
    <w:rsid w:val="00374614"/>
    <w:rsid w:val="00381D06"/>
    <w:rsid w:val="0038364F"/>
    <w:rsid w:val="00385CAE"/>
    <w:rsid w:val="003961AF"/>
    <w:rsid w:val="003A65DA"/>
    <w:rsid w:val="003B5D20"/>
    <w:rsid w:val="003C3018"/>
    <w:rsid w:val="003C641A"/>
    <w:rsid w:val="003D11E1"/>
    <w:rsid w:val="003D34F2"/>
    <w:rsid w:val="003F3413"/>
    <w:rsid w:val="004137D6"/>
    <w:rsid w:val="004256CF"/>
    <w:rsid w:val="004310C7"/>
    <w:rsid w:val="004322E5"/>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173C6"/>
    <w:rsid w:val="00523CA6"/>
    <w:rsid w:val="00527DAD"/>
    <w:rsid w:val="00533C1F"/>
    <w:rsid w:val="00546E28"/>
    <w:rsid w:val="00563DB6"/>
    <w:rsid w:val="0056704E"/>
    <w:rsid w:val="00573EF1"/>
    <w:rsid w:val="00587419"/>
    <w:rsid w:val="005954BB"/>
    <w:rsid w:val="005A0A19"/>
    <w:rsid w:val="005A33DA"/>
    <w:rsid w:val="005A3AAF"/>
    <w:rsid w:val="005D6333"/>
    <w:rsid w:val="005E377B"/>
    <w:rsid w:val="005E6924"/>
    <w:rsid w:val="005F745E"/>
    <w:rsid w:val="0061108F"/>
    <w:rsid w:val="0063415C"/>
    <w:rsid w:val="0064019C"/>
    <w:rsid w:val="00640971"/>
    <w:rsid w:val="00645DA8"/>
    <w:rsid w:val="00654D03"/>
    <w:rsid w:val="00682ADC"/>
    <w:rsid w:val="00692E6D"/>
    <w:rsid w:val="006A7FA8"/>
    <w:rsid w:val="006C6179"/>
    <w:rsid w:val="006D4BE6"/>
    <w:rsid w:val="006F0A12"/>
    <w:rsid w:val="006F2450"/>
    <w:rsid w:val="007031FF"/>
    <w:rsid w:val="00706748"/>
    <w:rsid w:val="007246DA"/>
    <w:rsid w:val="00733537"/>
    <w:rsid w:val="00737F22"/>
    <w:rsid w:val="007578CF"/>
    <w:rsid w:val="0076147F"/>
    <w:rsid w:val="00761ECB"/>
    <w:rsid w:val="007626CE"/>
    <w:rsid w:val="007629C6"/>
    <w:rsid w:val="007940B3"/>
    <w:rsid w:val="00795ED6"/>
    <w:rsid w:val="007A3BA1"/>
    <w:rsid w:val="007D129C"/>
    <w:rsid w:val="007F00B4"/>
    <w:rsid w:val="00810B8D"/>
    <w:rsid w:val="0081190A"/>
    <w:rsid w:val="0081326B"/>
    <w:rsid w:val="00813986"/>
    <w:rsid w:val="0082498B"/>
    <w:rsid w:val="008302FB"/>
    <w:rsid w:val="008303BF"/>
    <w:rsid w:val="00830BAB"/>
    <w:rsid w:val="00854492"/>
    <w:rsid w:val="00862C85"/>
    <w:rsid w:val="008873FA"/>
    <w:rsid w:val="00894E78"/>
    <w:rsid w:val="008C13CB"/>
    <w:rsid w:val="008E4E29"/>
    <w:rsid w:val="008F32BB"/>
    <w:rsid w:val="008F6D11"/>
    <w:rsid w:val="00947BC3"/>
    <w:rsid w:val="0095021D"/>
    <w:rsid w:val="00957556"/>
    <w:rsid w:val="00970CDE"/>
    <w:rsid w:val="00985009"/>
    <w:rsid w:val="00985159"/>
    <w:rsid w:val="00986F10"/>
    <w:rsid w:val="009A65FC"/>
    <w:rsid w:val="009B4421"/>
    <w:rsid w:val="009B4B29"/>
    <w:rsid w:val="009C64D0"/>
    <w:rsid w:val="009C6AFF"/>
    <w:rsid w:val="009D1BA7"/>
    <w:rsid w:val="009E6118"/>
    <w:rsid w:val="009F0A44"/>
    <w:rsid w:val="009F26A2"/>
    <w:rsid w:val="009F3E5F"/>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AE2AA5"/>
    <w:rsid w:val="00B206FF"/>
    <w:rsid w:val="00B25264"/>
    <w:rsid w:val="00B35246"/>
    <w:rsid w:val="00B354CE"/>
    <w:rsid w:val="00B630F5"/>
    <w:rsid w:val="00B84002"/>
    <w:rsid w:val="00B96B7B"/>
    <w:rsid w:val="00BA355B"/>
    <w:rsid w:val="00BB0954"/>
    <w:rsid w:val="00BC0ABE"/>
    <w:rsid w:val="00BF2B51"/>
    <w:rsid w:val="00BF705F"/>
    <w:rsid w:val="00BF7172"/>
    <w:rsid w:val="00C01809"/>
    <w:rsid w:val="00C23593"/>
    <w:rsid w:val="00C27D55"/>
    <w:rsid w:val="00C459D1"/>
    <w:rsid w:val="00C500FB"/>
    <w:rsid w:val="00C504AC"/>
    <w:rsid w:val="00C548A1"/>
    <w:rsid w:val="00C65693"/>
    <w:rsid w:val="00C66E6D"/>
    <w:rsid w:val="00C71D9C"/>
    <w:rsid w:val="00C733AF"/>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4430E"/>
    <w:rsid w:val="00E71A22"/>
    <w:rsid w:val="00E71ABA"/>
    <w:rsid w:val="00E80BFD"/>
    <w:rsid w:val="00E820B6"/>
    <w:rsid w:val="00E836D3"/>
    <w:rsid w:val="00E85A57"/>
    <w:rsid w:val="00E86A4B"/>
    <w:rsid w:val="00E870B4"/>
    <w:rsid w:val="00EC0FF9"/>
    <w:rsid w:val="00EC1362"/>
    <w:rsid w:val="00EC3723"/>
    <w:rsid w:val="00ED6D1C"/>
    <w:rsid w:val="00EE589F"/>
    <w:rsid w:val="00F26E0C"/>
    <w:rsid w:val="00F270C6"/>
    <w:rsid w:val="00F40915"/>
    <w:rsid w:val="00F511F7"/>
    <w:rsid w:val="00F674AF"/>
    <w:rsid w:val="00F87FF7"/>
    <w:rsid w:val="00FA66F4"/>
    <w:rsid w:val="00FB2D9B"/>
    <w:rsid w:val="00FC399C"/>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42345408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Williams, Dominique</cp:lastModifiedBy>
  <cp:revision>3</cp:revision>
  <cp:lastPrinted>2020-05-29T18:18:00Z</cp:lastPrinted>
  <dcterms:created xsi:type="dcterms:W3CDTF">2023-01-20T02:22:00Z</dcterms:created>
  <dcterms:modified xsi:type="dcterms:W3CDTF">2023-01-20T02:42:00Z</dcterms:modified>
</cp:coreProperties>
</file>