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895"/>
        <w:gridCol w:w="7165"/>
      </w:tblGrid>
      <w:tr w:rsidR="0047642B" w14:paraId="105423A2" w14:textId="77777777" w:rsidTr="00A264EB">
        <w:trPr>
          <w:trHeight w:val="258"/>
          <w:tblHeader/>
        </w:trPr>
        <w:tc>
          <w:tcPr>
            <w:tcW w:w="445" w:type="dxa"/>
            <w:shd w:val="clear" w:color="auto" w:fill="DBE5F1" w:themeFill="accent1" w:themeFillTint="33"/>
          </w:tcPr>
          <w:p w14:paraId="23CD23CF" w14:textId="4A4A392B" w:rsidR="0047642B" w:rsidRPr="00504E5E" w:rsidRDefault="0047642B">
            <w:pPr>
              <w:rPr>
                <w:b/>
              </w:rPr>
            </w:pPr>
          </w:p>
        </w:tc>
        <w:tc>
          <w:tcPr>
            <w:tcW w:w="4895" w:type="dxa"/>
            <w:shd w:val="clear" w:color="auto" w:fill="DBE5F1" w:themeFill="accent1" w:themeFillTint="33"/>
          </w:tcPr>
          <w:p w14:paraId="558BCAB8" w14:textId="77777777" w:rsidR="0047642B" w:rsidRPr="00504E5E" w:rsidRDefault="0047642B">
            <w:pPr>
              <w:rPr>
                <w:b/>
              </w:rPr>
            </w:pPr>
            <w:r w:rsidRPr="00504E5E">
              <w:rPr>
                <w:b/>
              </w:rPr>
              <w:t>Question</w:t>
            </w:r>
          </w:p>
        </w:tc>
        <w:tc>
          <w:tcPr>
            <w:tcW w:w="7165" w:type="dxa"/>
            <w:shd w:val="clear" w:color="auto" w:fill="DBE5F1" w:themeFill="accent1" w:themeFillTint="33"/>
          </w:tcPr>
          <w:p w14:paraId="6EECDFD7" w14:textId="530D8F95" w:rsidR="0047642B" w:rsidRPr="00504E5E" w:rsidRDefault="0047642B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184E5D" w:rsidRPr="00F63073" w14:paraId="21F3D259" w14:textId="77777777" w:rsidTr="00E35DDC">
        <w:trPr>
          <w:trHeight w:val="270"/>
        </w:trPr>
        <w:tc>
          <w:tcPr>
            <w:tcW w:w="445" w:type="dxa"/>
          </w:tcPr>
          <w:p w14:paraId="14090C5D" w14:textId="3D49464C" w:rsidR="00184E5D" w:rsidRDefault="00184E5D" w:rsidP="00A264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895" w:type="dxa"/>
          </w:tcPr>
          <w:p w14:paraId="3A2C0C60" w14:textId="21EEFC77" w:rsidR="00184E5D" w:rsidRDefault="00184E5D" w:rsidP="00121278">
            <w:r>
              <w:t>What is meant by the phrase “maintain fidelity” as used in the RFQ guidelines?</w:t>
            </w:r>
          </w:p>
        </w:tc>
        <w:tc>
          <w:tcPr>
            <w:tcW w:w="7165" w:type="dxa"/>
          </w:tcPr>
          <w:p w14:paraId="46E38861" w14:textId="6977095C" w:rsidR="00184E5D" w:rsidRDefault="00184E5D" w:rsidP="00A264EB">
            <w:pPr>
              <w:tabs>
                <w:tab w:val="left" w:pos="360"/>
                <w:tab w:val="left" w:pos="540"/>
                <w:tab w:val="left" w:pos="630"/>
              </w:tabs>
            </w:pPr>
            <w:r>
              <w:t xml:space="preserve">This phrase refers to the requirement for the service procured through this RFQ to meet the service/program model </w:t>
            </w:r>
            <w:r w:rsidR="00341FDA">
              <w:t xml:space="preserve">and the required service components </w:t>
            </w:r>
            <w:r>
              <w:t>described in the RFQ</w:t>
            </w:r>
            <w:r w:rsidR="00341FDA">
              <w:t>, pages 9-11.</w:t>
            </w:r>
          </w:p>
        </w:tc>
      </w:tr>
      <w:tr w:rsidR="0047642B" w:rsidRPr="00F63073" w14:paraId="5311150F" w14:textId="77777777" w:rsidTr="00E35DDC">
        <w:trPr>
          <w:trHeight w:val="270"/>
        </w:trPr>
        <w:tc>
          <w:tcPr>
            <w:tcW w:w="445" w:type="dxa"/>
          </w:tcPr>
          <w:p w14:paraId="06E7C051" w14:textId="5F890072" w:rsidR="0047642B" w:rsidRPr="00121278" w:rsidRDefault="00184E5D" w:rsidP="00A264EB"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895" w:type="dxa"/>
          </w:tcPr>
          <w:p w14:paraId="0D56AEFF" w14:textId="77777777" w:rsidR="0047642B" w:rsidRPr="00121278" w:rsidRDefault="0047642B" w:rsidP="00121278">
            <w:r w:rsidRPr="00121278">
              <w:t>Is this funding for what we were calling the Hyde Shuttles, run by Sound Generations?</w:t>
            </w:r>
          </w:p>
          <w:p w14:paraId="2717FACC" w14:textId="412D9916" w:rsidR="0047642B" w:rsidRPr="00121278" w:rsidRDefault="0047642B" w:rsidP="00A264EB"/>
        </w:tc>
        <w:tc>
          <w:tcPr>
            <w:tcW w:w="7165" w:type="dxa"/>
          </w:tcPr>
          <w:p w14:paraId="5DFD2213" w14:textId="0969572F" w:rsidR="0047642B" w:rsidRPr="00121278" w:rsidRDefault="00C257CE" w:rsidP="00A264EB">
            <w:pPr>
              <w:tabs>
                <w:tab w:val="left" w:pos="360"/>
                <w:tab w:val="left" w:pos="540"/>
                <w:tab w:val="left" w:pos="630"/>
              </w:tabs>
            </w:pPr>
            <w:r>
              <w:t>Yes, in that t</w:t>
            </w:r>
            <w:r w:rsidR="00A25F2D">
              <w:t xml:space="preserve">he </w:t>
            </w:r>
            <w:r w:rsidR="00210F7A">
              <w:t>Community Shuttles will</w:t>
            </w:r>
            <w:r w:rsidR="00A25F2D">
              <w:t xml:space="preserve"> sustain service that is currently provided by Sound Generations’ Hyde Shuttle program.</w:t>
            </w:r>
            <w:r w:rsidR="00A25F2D" w:rsidRPr="00121278">
              <w:t xml:space="preserve"> </w:t>
            </w:r>
            <w:r w:rsidR="0047642B">
              <w:t xml:space="preserve">The </w:t>
            </w:r>
            <w:r w:rsidR="00A25F2D">
              <w:t xml:space="preserve">Information Session </w:t>
            </w:r>
            <w:r w:rsidR="0047642B">
              <w:t xml:space="preserve">PowerPoint </w:t>
            </w:r>
            <w:r w:rsidR="0098779E">
              <w:t xml:space="preserve">presentation </w:t>
            </w:r>
            <w:r w:rsidR="0098779E" w:rsidRPr="00121278">
              <w:t>contains</w:t>
            </w:r>
            <w:r w:rsidR="0047642B" w:rsidRPr="00121278">
              <w:t xml:space="preserve"> </w:t>
            </w:r>
            <w:r w:rsidR="00A25F2D">
              <w:t xml:space="preserve">additional </w:t>
            </w:r>
            <w:r w:rsidR="0047642B" w:rsidRPr="00121278">
              <w:t xml:space="preserve">background information on the Community Shuttles.  </w:t>
            </w:r>
          </w:p>
        </w:tc>
      </w:tr>
      <w:tr w:rsidR="0047642B" w:rsidRPr="00F63073" w14:paraId="4613B554" w14:textId="77777777" w:rsidTr="00E35DDC">
        <w:trPr>
          <w:trHeight w:val="270"/>
        </w:trPr>
        <w:tc>
          <w:tcPr>
            <w:tcW w:w="445" w:type="dxa"/>
          </w:tcPr>
          <w:p w14:paraId="5161B857" w14:textId="3CDD6E64" w:rsidR="0047642B" w:rsidRPr="0047642B" w:rsidRDefault="00184E5D" w:rsidP="00A264EB">
            <w:r>
              <w:t>3</w:t>
            </w:r>
          </w:p>
        </w:tc>
        <w:tc>
          <w:tcPr>
            <w:tcW w:w="4895" w:type="dxa"/>
          </w:tcPr>
          <w:p w14:paraId="73DD89C5" w14:textId="40F06DCC" w:rsidR="0047642B" w:rsidRPr="0047642B" w:rsidRDefault="0047642B" w:rsidP="00A264EB">
            <w:r w:rsidRPr="0047642B">
              <w:t>What is the geographic extent of the service area?</w:t>
            </w:r>
          </w:p>
        </w:tc>
        <w:tc>
          <w:tcPr>
            <w:tcW w:w="7165" w:type="dxa"/>
          </w:tcPr>
          <w:p w14:paraId="078CF806" w14:textId="0FDD5151" w:rsidR="0047642B" w:rsidRPr="0047642B" w:rsidRDefault="00271C4D" w:rsidP="00A264EB">
            <w:r>
              <w:t xml:space="preserve"> Please refer to page 3 in the RFQ</w:t>
            </w:r>
            <w:r w:rsidR="00EF2A4C">
              <w:t xml:space="preserve"> </w:t>
            </w:r>
            <w:r w:rsidR="00E30070">
              <w:t>(Section 1, Introduction)</w:t>
            </w:r>
            <w:r w:rsidR="006F0D07">
              <w:t xml:space="preserve"> </w:t>
            </w:r>
            <w:r w:rsidR="00554D1F">
              <w:t>for the geographic service area</w:t>
            </w:r>
            <w:r>
              <w:t>.</w:t>
            </w:r>
          </w:p>
        </w:tc>
      </w:tr>
      <w:tr w:rsidR="0047642B" w14:paraId="54A26028" w14:textId="77777777" w:rsidTr="00E35DDC">
        <w:trPr>
          <w:trHeight w:val="270"/>
        </w:trPr>
        <w:tc>
          <w:tcPr>
            <w:tcW w:w="445" w:type="dxa"/>
          </w:tcPr>
          <w:p w14:paraId="7D20255D" w14:textId="1EF47905" w:rsidR="0047642B" w:rsidRPr="0047642B" w:rsidRDefault="00184E5D" w:rsidP="00A264EB">
            <w:r>
              <w:t>4</w:t>
            </w:r>
          </w:p>
        </w:tc>
        <w:tc>
          <w:tcPr>
            <w:tcW w:w="4895" w:type="dxa"/>
          </w:tcPr>
          <w:p w14:paraId="50B1E9AD" w14:textId="7615F949" w:rsidR="0047642B" w:rsidRPr="0047642B" w:rsidRDefault="0047642B" w:rsidP="00A264EB">
            <w:r w:rsidRPr="0047642B">
              <w:t>Is there a preferred font for the application narrative response?</w:t>
            </w:r>
          </w:p>
        </w:tc>
        <w:tc>
          <w:tcPr>
            <w:tcW w:w="7165" w:type="dxa"/>
          </w:tcPr>
          <w:p w14:paraId="45F149A0" w14:textId="5222EF0D" w:rsidR="0047642B" w:rsidRDefault="00173EBE" w:rsidP="00A264EB">
            <w:r>
              <w:t xml:space="preserve">There is no preferred font as long </w:t>
            </w:r>
            <w:r w:rsidR="00341FDA">
              <w:t xml:space="preserve">as it </w:t>
            </w:r>
            <w:r>
              <w:t xml:space="preserve">is at least 11 pt. </w:t>
            </w:r>
          </w:p>
        </w:tc>
      </w:tr>
      <w:tr w:rsidR="0047642B" w14:paraId="0F5DC767" w14:textId="77777777" w:rsidTr="00E35DDC">
        <w:trPr>
          <w:trHeight w:val="270"/>
        </w:trPr>
        <w:tc>
          <w:tcPr>
            <w:tcW w:w="445" w:type="dxa"/>
          </w:tcPr>
          <w:p w14:paraId="744FC0FC" w14:textId="4FA0B07B" w:rsidR="0047642B" w:rsidRDefault="00184E5D" w:rsidP="00A264EB">
            <w:r>
              <w:t>5</w:t>
            </w:r>
          </w:p>
        </w:tc>
        <w:tc>
          <w:tcPr>
            <w:tcW w:w="4895" w:type="dxa"/>
          </w:tcPr>
          <w:p w14:paraId="495DF4A5" w14:textId="53C257B5" w:rsidR="0047642B" w:rsidRPr="00021EC1" w:rsidRDefault="0047642B" w:rsidP="00A264EB">
            <w:r>
              <w:t xml:space="preserve">Are you asking applicants to propose a </w:t>
            </w:r>
            <w:r w:rsidR="006D2A9C">
              <w:t>reimbursement</w:t>
            </w:r>
            <w:r>
              <w:t xml:space="preserve"> rate?</w:t>
            </w:r>
          </w:p>
        </w:tc>
        <w:tc>
          <w:tcPr>
            <w:tcW w:w="7165" w:type="dxa"/>
          </w:tcPr>
          <w:p w14:paraId="347F3695" w14:textId="29426850" w:rsidR="0047642B" w:rsidRDefault="00E8179A" w:rsidP="00A264EB">
            <w:r>
              <w:t xml:space="preserve"> No.</w:t>
            </w:r>
            <w:r w:rsidR="0098779E">
              <w:t xml:space="preserve"> </w:t>
            </w:r>
            <w:r w:rsidR="0047642B">
              <w:t>Applicants should use the budget sheet</w:t>
            </w:r>
            <w:r w:rsidR="00F702AA">
              <w:t xml:space="preserve"> templates included in the application to indicate their costs to operate the service and all fund sources that are anticipated to cover the </w:t>
            </w:r>
            <w:r w:rsidR="006D2A9C">
              <w:t>anticipated</w:t>
            </w:r>
            <w:r w:rsidR="00F702AA">
              <w:t xml:space="preserve"> expenses.</w:t>
            </w:r>
          </w:p>
        </w:tc>
      </w:tr>
      <w:tr w:rsidR="0047642B" w14:paraId="259BAA0B" w14:textId="77777777" w:rsidTr="00E35DDC">
        <w:trPr>
          <w:trHeight w:val="270"/>
        </w:trPr>
        <w:tc>
          <w:tcPr>
            <w:tcW w:w="445" w:type="dxa"/>
          </w:tcPr>
          <w:p w14:paraId="1BB762A8" w14:textId="4DE8F3DB" w:rsidR="0047642B" w:rsidRDefault="00184E5D" w:rsidP="00A264EB">
            <w:r>
              <w:t>6</w:t>
            </w:r>
          </w:p>
        </w:tc>
        <w:tc>
          <w:tcPr>
            <w:tcW w:w="4895" w:type="dxa"/>
          </w:tcPr>
          <w:p w14:paraId="0FA54AA9" w14:textId="3A5E7670" w:rsidR="0047642B" w:rsidRDefault="006D2A9C" w:rsidP="00A264EB">
            <w:r>
              <w:t>Applicants are asked to provide a plan to ensure that the service is accessible to immigrants, refugees, and people with limited English proficiency. Does this plan count toward the 15-page limit?</w:t>
            </w:r>
          </w:p>
        </w:tc>
        <w:tc>
          <w:tcPr>
            <w:tcW w:w="7165" w:type="dxa"/>
          </w:tcPr>
          <w:p w14:paraId="532DF84E" w14:textId="34EC15E7" w:rsidR="0047642B" w:rsidRDefault="00BB6A76" w:rsidP="00A264EB">
            <w:r>
              <w:t xml:space="preserve">No. </w:t>
            </w:r>
            <w:r w:rsidR="006D2A9C">
              <w:t>This plan is a separate attachment and does not count toward the 15-page limit on the length of narrative response.</w:t>
            </w:r>
          </w:p>
        </w:tc>
      </w:tr>
      <w:tr w:rsidR="0047642B" w14:paraId="64AE3EDB" w14:textId="77777777" w:rsidTr="00E35DDC">
        <w:trPr>
          <w:trHeight w:val="270"/>
        </w:trPr>
        <w:tc>
          <w:tcPr>
            <w:tcW w:w="445" w:type="dxa"/>
          </w:tcPr>
          <w:p w14:paraId="5FD73C70" w14:textId="154EBC1F" w:rsidR="0047642B" w:rsidRDefault="00184E5D" w:rsidP="00A264EB">
            <w:r>
              <w:t>7</w:t>
            </w:r>
          </w:p>
        </w:tc>
        <w:tc>
          <w:tcPr>
            <w:tcW w:w="4895" w:type="dxa"/>
          </w:tcPr>
          <w:p w14:paraId="3EBC262E" w14:textId="52E3B34D" w:rsidR="0047642B" w:rsidRPr="00780361" w:rsidRDefault="006D2A9C" w:rsidP="00A264EB">
            <w:r>
              <w:t>In order to answer the “cultural competency” questions, can applicants provide information regardin</w:t>
            </w:r>
            <w:r w:rsidR="00905869">
              <w:t>g other aspects of their agency, or should responses be limited to aspects of cultural competency for this particular service?</w:t>
            </w:r>
          </w:p>
        </w:tc>
        <w:tc>
          <w:tcPr>
            <w:tcW w:w="7165" w:type="dxa"/>
          </w:tcPr>
          <w:p w14:paraId="531195D7" w14:textId="23CCF838" w:rsidR="0047642B" w:rsidRDefault="00341FDA" w:rsidP="00A264EB">
            <w:r>
              <w:t>Applicants</w:t>
            </w:r>
            <w:r w:rsidR="00905869">
              <w:t xml:space="preserve"> are encourage</w:t>
            </w:r>
            <w:r w:rsidR="00271261">
              <w:t>d</w:t>
            </w:r>
            <w:r w:rsidR="00905869">
              <w:t xml:space="preserve"> to </w:t>
            </w:r>
            <w:r w:rsidR="00271261">
              <w:t xml:space="preserve">review the rating </w:t>
            </w:r>
            <w:r w:rsidR="00905869">
              <w:t xml:space="preserve">criteria </w:t>
            </w:r>
            <w:r w:rsidR="00271261">
              <w:t>listed in the RFQ. While responses should focus on the Community Shuttles project, applicants may share additional context.</w:t>
            </w:r>
          </w:p>
        </w:tc>
      </w:tr>
      <w:tr w:rsidR="0047642B" w14:paraId="4BD7FA70" w14:textId="77777777" w:rsidTr="00E35DDC">
        <w:trPr>
          <w:trHeight w:val="270"/>
        </w:trPr>
        <w:tc>
          <w:tcPr>
            <w:tcW w:w="445" w:type="dxa"/>
          </w:tcPr>
          <w:p w14:paraId="0BAE4B07" w14:textId="066DCC75" w:rsidR="0047642B" w:rsidRDefault="00184E5D" w:rsidP="00A264EB">
            <w:r>
              <w:t>8</w:t>
            </w:r>
          </w:p>
        </w:tc>
        <w:tc>
          <w:tcPr>
            <w:tcW w:w="4895" w:type="dxa"/>
          </w:tcPr>
          <w:p w14:paraId="0E3107F1" w14:textId="41AF42D2" w:rsidR="0047642B" w:rsidRDefault="00184E5D" w:rsidP="00A264EB">
            <w:r>
              <w:t xml:space="preserve">The completed application requirements include </w:t>
            </w:r>
            <w:r w:rsidR="00BB6A76">
              <w:t>(</w:t>
            </w:r>
            <w:r>
              <w:t>if applicable</w:t>
            </w:r>
            <w:r w:rsidR="00BB6A76">
              <w:t>)</w:t>
            </w:r>
            <w:r>
              <w:t xml:space="preserve"> a roster of your agency’s current Board of Directors and minutes from your agency’s last three Board of Directors meetings. How do I </w:t>
            </w:r>
            <w:r w:rsidR="00173EBE">
              <w:t>k</w:t>
            </w:r>
            <w:r>
              <w:t>now if these requirements apply to me?</w:t>
            </w:r>
          </w:p>
        </w:tc>
        <w:tc>
          <w:tcPr>
            <w:tcW w:w="7165" w:type="dxa"/>
          </w:tcPr>
          <w:p w14:paraId="0A0A652C" w14:textId="15933C49" w:rsidR="0047642B" w:rsidRDefault="00184E5D" w:rsidP="00A264EB">
            <w:r>
              <w:t>If your agency has a Board of Directors, this requirement does apply to your agency.</w:t>
            </w:r>
          </w:p>
        </w:tc>
      </w:tr>
      <w:tr w:rsidR="0047642B" w14:paraId="47284B99" w14:textId="77777777" w:rsidTr="00E35DDC">
        <w:trPr>
          <w:trHeight w:val="270"/>
        </w:trPr>
        <w:tc>
          <w:tcPr>
            <w:tcW w:w="445" w:type="dxa"/>
          </w:tcPr>
          <w:p w14:paraId="37AF7008" w14:textId="4C7C7457" w:rsidR="0047642B" w:rsidRDefault="00184E5D" w:rsidP="00A264EB">
            <w:r>
              <w:lastRenderedPageBreak/>
              <w:t>9</w:t>
            </w:r>
          </w:p>
        </w:tc>
        <w:tc>
          <w:tcPr>
            <w:tcW w:w="4895" w:type="dxa"/>
          </w:tcPr>
          <w:p w14:paraId="19062E13" w14:textId="794397D8" w:rsidR="0047642B" w:rsidRDefault="00074B40" w:rsidP="00A264EB">
            <w:r>
              <w:t>Does the transition schedule that aligns with the implementation timeline (Attachment 5) count toward the 15-page narrative response limit?</w:t>
            </w:r>
          </w:p>
        </w:tc>
        <w:tc>
          <w:tcPr>
            <w:tcW w:w="7165" w:type="dxa"/>
          </w:tcPr>
          <w:p w14:paraId="1D2247C6" w14:textId="2647101B" w:rsidR="0047642B" w:rsidRDefault="00074B40" w:rsidP="00A264EB">
            <w:r>
              <w:t>The transition schedule is a required component of the implementation plan. As such, it should be included in your narrative response and does count toward the 15-page limit. Attachment 5 is for reference only and does not need to be included in your application.</w:t>
            </w:r>
          </w:p>
        </w:tc>
      </w:tr>
      <w:tr w:rsidR="0047642B" w14:paraId="262430D4" w14:textId="77777777" w:rsidTr="00E35DDC">
        <w:trPr>
          <w:trHeight w:val="270"/>
        </w:trPr>
        <w:tc>
          <w:tcPr>
            <w:tcW w:w="445" w:type="dxa"/>
          </w:tcPr>
          <w:p w14:paraId="6FE91029" w14:textId="64C60B4A" w:rsidR="0047642B" w:rsidRDefault="00074B40" w:rsidP="00A264EB">
            <w:r>
              <w:t>10</w:t>
            </w:r>
          </w:p>
        </w:tc>
        <w:tc>
          <w:tcPr>
            <w:tcW w:w="4895" w:type="dxa"/>
          </w:tcPr>
          <w:p w14:paraId="1A837612" w14:textId="5A356E7F" w:rsidR="0047642B" w:rsidRPr="00074B40" w:rsidRDefault="00074B40" w:rsidP="00A264EB">
            <w:r w:rsidRPr="00074B40">
              <w:t>Do you want letters of support? Can we provide letters of support?  If we choose to include them, would they then count toward the 15-page maximum? </w:t>
            </w:r>
          </w:p>
        </w:tc>
        <w:tc>
          <w:tcPr>
            <w:tcW w:w="7165" w:type="dxa"/>
          </w:tcPr>
          <w:p w14:paraId="29C360EE" w14:textId="3FD24082" w:rsidR="00DD4E11" w:rsidRDefault="00074B40" w:rsidP="00A264EB">
            <w:r>
              <w:t>Applicants should not attach general letters of support to their application.</w:t>
            </w:r>
            <w:r w:rsidR="00B92C69">
              <w:t xml:space="preserve"> If received, general letters of supp</w:t>
            </w:r>
            <w:r w:rsidR="00C257CE">
              <w:t>ort will be disregarded and will not count toward the 15-page limit.</w:t>
            </w:r>
          </w:p>
          <w:p w14:paraId="548E9290" w14:textId="77777777" w:rsidR="00DD4E11" w:rsidRDefault="00DD4E11" w:rsidP="00A264EB"/>
          <w:p w14:paraId="40555ED7" w14:textId="476A5012" w:rsidR="0047642B" w:rsidRDefault="00074B40" w:rsidP="00A264EB">
            <w:r>
              <w:t>Applicants should provide signed letters of intent from any formal partners providing key program element</w:t>
            </w:r>
            <w:bookmarkStart w:id="0" w:name="_GoBack"/>
            <w:bookmarkEnd w:id="0"/>
            <w:r>
              <w:t>s.</w:t>
            </w:r>
            <w:r w:rsidR="00536F69">
              <w:t xml:space="preserve"> Partnership letters will not be counted toward the maximum page limit.</w:t>
            </w:r>
          </w:p>
        </w:tc>
      </w:tr>
      <w:tr w:rsidR="00CA7A56" w14:paraId="625AC130" w14:textId="77777777" w:rsidTr="00E35DDC">
        <w:trPr>
          <w:trHeight w:val="270"/>
        </w:trPr>
        <w:tc>
          <w:tcPr>
            <w:tcW w:w="445" w:type="dxa"/>
          </w:tcPr>
          <w:p w14:paraId="7B6B7785" w14:textId="55BBFEDE" w:rsidR="00CA7A56" w:rsidRDefault="00CA7A56" w:rsidP="00A264EB">
            <w:r>
              <w:t>11</w:t>
            </w:r>
          </w:p>
        </w:tc>
        <w:tc>
          <w:tcPr>
            <w:tcW w:w="4895" w:type="dxa"/>
          </w:tcPr>
          <w:p w14:paraId="55643391" w14:textId="3CC3B745" w:rsidR="00CA7A56" w:rsidRPr="00DE5A09" w:rsidRDefault="009A4FEC" w:rsidP="00CA7A56">
            <w:r w:rsidRPr="00DE5A09">
              <w:t>Would other grant funding used to support this project be considered formal partnerships that require signed letters of intent?</w:t>
            </w:r>
          </w:p>
          <w:p w14:paraId="64D52997" w14:textId="77777777" w:rsidR="00CA7A56" w:rsidRPr="00074B40" w:rsidRDefault="00CA7A56" w:rsidP="00A264EB"/>
        </w:tc>
        <w:tc>
          <w:tcPr>
            <w:tcW w:w="7165" w:type="dxa"/>
          </w:tcPr>
          <w:p w14:paraId="60A984DB" w14:textId="4B29AF6A" w:rsidR="00CA7A56" w:rsidRDefault="009A4FEC" w:rsidP="00A264EB">
            <w:r>
              <w:t>No, applican</w:t>
            </w:r>
            <w:r w:rsidR="009A49F2">
              <w:t>ts are not required to include</w:t>
            </w:r>
            <w:r>
              <w:t xml:space="preserve"> signed letters of intent from other </w:t>
            </w:r>
            <w:r w:rsidR="00C371DC">
              <w:t>funders.</w:t>
            </w:r>
          </w:p>
        </w:tc>
      </w:tr>
    </w:tbl>
    <w:p w14:paraId="0BC00B52" w14:textId="77777777" w:rsidR="00FD40CA" w:rsidRDefault="00FD40CA"/>
    <w:sectPr w:rsidR="00FD40CA" w:rsidSect="004F4735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CD95" w14:textId="77777777" w:rsidR="003728E1" w:rsidRDefault="003728E1" w:rsidP="004F4735">
      <w:pPr>
        <w:spacing w:after="0" w:line="240" w:lineRule="auto"/>
      </w:pPr>
      <w:r>
        <w:separator/>
      </w:r>
    </w:p>
  </w:endnote>
  <w:endnote w:type="continuationSeparator" w:id="0">
    <w:p w14:paraId="791E2044" w14:textId="77777777" w:rsidR="003728E1" w:rsidRDefault="003728E1" w:rsidP="004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1419" w14:textId="0A628D12" w:rsidR="00121278" w:rsidRDefault="00121278">
    <w:pPr>
      <w:pStyle w:val="Footer"/>
    </w:pPr>
    <w:r w:rsidRPr="00121278">
      <w:ptab w:relativeTo="margin" w:alignment="center" w:leader="none"/>
    </w:r>
    <w:r w:rsidRPr="00121278">
      <w:t xml:space="preserve">Updated </w:t>
    </w:r>
    <w:r w:rsidR="00B92C69">
      <w:t>March 1</w:t>
    </w:r>
    <w:r w:rsidR="009A4F81">
      <w:t>5</w:t>
    </w:r>
    <w:r w:rsidRPr="00121278">
      <w:t>, 2017</w:t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Times New Roman" w:hAnsi="Times New Roman"/>
        <w:sz w:val="18"/>
      </w:rPr>
      <w:t>(V.2.0 - 2016)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5D81" w14:textId="77777777" w:rsidR="003728E1" w:rsidRDefault="003728E1" w:rsidP="004F4735">
      <w:pPr>
        <w:spacing w:after="0" w:line="240" w:lineRule="auto"/>
      </w:pPr>
      <w:r>
        <w:separator/>
      </w:r>
    </w:p>
  </w:footnote>
  <w:footnote w:type="continuationSeparator" w:id="0">
    <w:p w14:paraId="4730F1C6" w14:textId="77777777" w:rsidR="003728E1" w:rsidRDefault="003728E1" w:rsidP="004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7BAA" w14:textId="77777777" w:rsidR="00121278" w:rsidRPr="00BA6E22" w:rsidRDefault="00121278" w:rsidP="00A264EB">
    <w:pPr>
      <w:spacing w:after="0" w:line="240" w:lineRule="auto"/>
      <w:jc w:val="center"/>
      <w:rPr>
        <w:rFonts w:ascii="Cambria" w:hAnsi="Cambria"/>
        <w:color w:val="000066"/>
        <w:sz w:val="56"/>
        <w:szCs w:val="56"/>
      </w:rPr>
    </w:pPr>
    <w:r w:rsidRPr="00BA6E22">
      <w:rPr>
        <w:rFonts w:ascii="Cambria" w:hAnsi="Cambria"/>
        <w:color w:val="000066"/>
        <w:sz w:val="56"/>
        <w:szCs w:val="56"/>
      </w:rPr>
      <w:t>Question and Answer</w:t>
    </w:r>
  </w:p>
  <w:p w14:paraId="5B9005D1" w14:textId="57BBEDEB" w:rsidR="00121278" w:rsidRPr="00BA6E22" w:rsidRDefault="00121278" w:rsidP="00A264EB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>Community Shuttles for Seniors and People with Disabilities</w:t>
    </w:r>
  </w:p>
  <w:p w14:paraId="3F3C13B1" w14:textId="3E8FDB16" w:rsidR="00121278" w:rsidRDefault="00121278" w:rsidP="00A264EB">
    <w:pPr>
      <w:pStyle w:val="Header"/>
      <w:jc w:val="center"/>
      <w:rPr>
        <w:rFonts w:ascii="Cambria" w:hAnsi="Cambria"/>
        <w:b/>
      </w:rPr>
    </w:pPr>
  </w:p>
  <w:p w14:paraId="7ECC554C" w14:textId="77777777" w:rsidR="00121278" w:rsidRPr="00BA6E22" w:rsidRDefault="00121278" w:rsidP="00A264EB">
    <w:pPr>
      <w:pStyle w:val="Header"/>
      <w:jc w:val="center"/>
      <w:rPr>
        <w:rFonts w:ascii="Cambria" w:hAnsi="Cambria"/>
        <w:b/>
      </w:rPr>
    </w:pPr>
  </w:p>
  <w:p w14:paraId="7FF1494E" w14:textId="00F46E50" w:rsidR="00121278" w:rsidRDefault="00121278" w:rsidP="00A264EB">
    <w:pPr>
      <w:pStyle w:val="Header"/>
      <w:jc w:val="center"/>
      <w:rPr>
        <w:rFonts w:ascii="Cambria" w:hAnsi="Cambria"/>
        <w:i/>
      </w:rPr>
    </w:pPr>
    <w:r>
      <w:rPr>
        <w:rFonts w:ascii="Cambria" w:hAnsi="Cambria"/>
        <w:i/>
      </w:rPr>
      <w:t>2017 Request for Qualification</w:t>
    </w:r>
  </w:p>
  <w:p w14:paraId="08E539C9" w14:textId="77777777" w:rsidR="00121278" w:rsidRPr="004E5255" w:rsidRDefault="00121278" w:rsidP="004E525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4FE3"/>
    <w:multiLevelType w:val="hybridMultilevel"/>
    <w:tmpl w:val="5FC4579C"/>
    <w:lvl w:ilvl="0" w:tplc="6E46095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4D76D4"/>
    <w:multiLevelType w:val="hybridMultilevel"/>
    <w:tmpl w:val="7FCC558A"/>
    <w:lvl w:ilvl="0" w:tplc="8BCEDB6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D036B5"/>
    <w:multiLevelType w:val="hybridMultilevel"/>
    <w:tmpl w:val="4718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E79"/>
    <w:multiLevelType w:val="hybridMultilevel"/>
    <w:tmpl w:val="76203392"/>
    <w:lvl w:ilvl="0" w:tplc="496AE4B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E46A8C"/>
    <w:multiLevelType w:val="hybridMultilevel"/>
    <w:tmpl w:val="F48E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35"/>
    <w:rsid w:val="00021EC1"/>
    <w:rsid w:val="00024AF9"/>
    <w:rsid w:val="0002652B"/>
    <w:rsid w:val="00043408"/>
    <w:rsid w:val="00074B40"/>
    <w:rsid w:val="0007783A"/>
    <w:rsid w:val="000B584A"/>
    <w:rsid w:val="000C0D7B"/>
    <w:rsid w:val="000D0382"/>
    <w:rsid w:val="000E4D63"/>
    <w:rsid w:val="000F0551"/>
    <w:rsid w:val="001010C6"/>
    <w:rsid w:val="00121278"/>
    <w:rsid w:val="00146FBB"/>
    <w:rsid w:val="00173E9A"/>
    <w:rsid w:val="00173EBE"/>
    <w:rsid w:val="00182740"/>
    <w:rsid w:val="00184E5D"/>
    <w:rsid w:val="001A6DB8"/>
    <w:rsid w:val="001B617E"/>
    <w:rsid w:val="00207E75"/>
    <w:rsid w:val="00210F7A"/>
    <w:rsid w:val="00220BCC"/>
    <w:rsid w:val="00271261"/>
    <w:rsid w:val="00271C4D"/>
    <w:rsid w:val="002722FE"/>
    <w:rsid w:val="00284587"/>
    <w:rsid w:val="002973E4"/>
    <w:rsid w:val="002B1798"/>
    <w:rsid w:val="002E77F7"/>
    <w:rsid w:val="00301255"/>
    <w:rsid w:val="00301EDC"/>
    <w:rsid w:val="003135B3"/>
    <w:rsid w:val="0031649B"/>
    <w:rsid w:val="00341FDA"/>
    <w:rsid w:val="00343BD3"/>
    <w:rsid w:val="003712C8"/>
    <w:rsid w:val="003728E1"/>
    <w:rsid w:val="00372C48"/>
    <w:rsid w:val="00383984"/>
    <w:rsid w:val="00395EF6"/>
    <w:rsid w:val="003A6318"/>
    <w:rsid w:val="003C24FD"/>
    <w:rsid w:val="003D310E"/>
    <w:rsid w:val="00434BAE"/>
    <w:rsid w:val="0044788F"/>
    <w:rsid w:val="00451612"/>
    <w:rsid w:val="00471776"/>
    <w:rsid w:val="0047642B"/>
    <w:rsid w:val="004A5DBE"/>
    <w:rsid w:val="004D077F"/>
    <w:rsid w:val="004E4FB7"/>
    <w:rsid w:val="004E5255"/>
    <w:rsid w:val="004E666E"/>
    <w:rsid w:val="004F4735"/>
    <w:rsid w:val="00504E5E"/>
    <w:rsid w:val="00526485"/>
    <w:rsid w:val="00535126"/>
    <w:rsid w:val="00536F69"/>
    <w:rsid w:val="00554510"/>
    <w:rsid w:val="00554D1F"/>
    <w:rsid w:val="0055575C"/>
    <w:rsid w:val="00565CCC"/>
    <w:rsid w:val="00572748"/>
    <w:rsid w:val="005A1D3B"/>
    <w:rsid w:val="005C45B1"/>
    <w:rsid w:val="0063502A"/>
    <w:rsid w:val="00681E95"/>
    <w:rsid w:val="00684C73"/>
    <w:rsid w:val="006D0C81"/>
    <w:rsid w:val="006D2A9C"/>
    <w:rsid w:val="006F0D07"/>
    <w:rsid w:val="006F72FF"/>
    <w:rsid w:val="00705533"/>
    <w:rsid w:val="00710B32"/>
    <w:rsid w:val="007115C9"/>
    <w:rsid w:val="00735011"/>
    <w:rsid w:val="00770E6F"/>
    <w:rsid w:val="007749EE"/>
    <w:rsid w:val="00780361"/>
    <w:rsid w:val="00780D2D"/>
    <w:rsid w:val="007849CC"/>
    <w:rsid w:val="007D2AA1"/>
    <w:rsid w:val="007F203A"/>
    <w:rsid w:val="00881605"/>
    <w:rsid w:val="00890454"/>
    <w:rsid w:val="008A28DE"/>
    <w:rsid w:val="008B4183"/>
    <w:rsid w:val="008B6D37"/>
    <w:rsid w:val="008D7B45"/>
    <w:rsid w:val="008F24FE"/>
    <w:rsid w:val="00905869"/>
    <w:rsid w:val="009167B6"/>
    <w:rsid w:val="00917CCB"/>
    <w:rsid w:val="00927066"/>
    <w:rsid w:val="00946F94"/>
    <w:rsid w:val="0098779E"/>
    <w:rsid w:val="00987A05"/>
    <w:rsid w:val="00997889"/>
    <w:rsid w:val="009A0DE6"/>
    <w:rsid w:val="009A49F2"/>
    <w:rsid w:val="009A4F81"/>
    <w:rsid w:val="009A4FEC"/>
    <w:rsid w:val="009B6321"/>
    <w:rsid w:val="00A25F2D"/>
    <w:rsid w:val="00A264EB"/>
    <w:rsid w:val="00A3733D"/>
    <w:rsid w:val="00A50484"/>
    <w:rsid w:val="00A72A7B"/>
    <w:rsid w:val="00A85CF6"/>
    <w:rsid w:val="00AF1363"/>
    <w:rsid w:val="00AF7F9F"/>
    <w:rsid w:val="00B05DA4"/>
    <w:rsid w:val="00B10037"/>
    <w:rsid w:val="00B30038"/>
    <w:rsid w:val="00B32F40"/>
    <w:rsid w:val="00B47314"/>
    <w:rsid w:val="00B7208F"/>
    <w:rsid w:val="00B83ADA"/>
    <w:rsid w:val="00B921C9"/>
    <w:rsid w:val="00B92C69"/>
    <w:rsid w:val="00BB1D4D"/>
    <w:rsid w:val="00BB6A76"/>
    <w:rsid w:val="00BF5E0C"/>
    <w:rsid w:val="00C03C07"/>
    <w:rsid w:val="00C257CE"/>
    <w:rsid w:val="00C371DC"/>
    <w:rsid w:val="00C41635"/>
    <w:rsid w:val="00C90124"/>
    <w:rsid w:val="00C90712"/>
    <w:rsid w:val="00CA0F31"/>
    <w:rsid w:val="00CA3AAD"/>
    <w:rsid w:val="00CA7A56"/>
    <w:rsid w:val="00CF1555"/>
    <w:rsid w:val="00D612D2"/>
    <w:rsid w:val="00D66A14"/>
    <w:rsid w:val="00D87D8A"/>
    <w:rsid w:val="00DC2092"/>
    <w:rsid w:val="00DD4E11"/>
    <w:rsid w:val="00DE07A8"/>
    <w:rsid w:val="00DE58C3"/>
    <w:rsid w:val="00DE5A09"/>
    <w:rsid w:val="00E0525F"/>
    <w:rsid w:val="00E12F69"/>
    <w:rsid w:val="00E30070"/>
    <w:rsid w:val="00E35DDC"/>
    <w:rsid w:val="00E460AE"/>
    <w:rsid w:val="00E8179A"/>
    <w:rsid w:val="00E96C85"/>
    <w:rsid w:val="00EB3E0C"/>
    <w:rsid w:val="00EC4468"/>
    <w:rsid w:val="00EC6C42"/>
    <w:rsid w:val="00ED17E4"/>
    <w:rsid w:val="00ED5CA3"/>
    <w:rsid w:val="00EF2A4C"/>
    <w:rsid w:val="00F23B74"/>
    <w:rsid w:val="00F477DD"/>
    <w:rsid w:val="00F606A5"/>
    <w:rsid w:val="00F63073"/>
    <w:rsid w:val="00F642EF"/>
    <w:rsid w:val="00F70136"/>
    <w:rsid w:val="00F702AA"/>
    <w:rsid w:val="00F766A7"/>
    <w:rsid w:val="00F859DD"/>
    <w:rsid w:val="00FD40CA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1A958"/>
  <w15:docId w15:val="{6FD17E50-C353-4F85-B15A-E6F09A0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35"/>
  </w:style>
  <w:style w:type="paragraph" w:styleId="Footer">
    <w:name w:val="footer"/>
    <w:basedOn w:val="Normal"/>
    <w:link w:val="FooterChar"/>
    <w:uiPriority w:val="99"/>
    <w:unhideWhenUsed/>
    <w:rsid w:val="004F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35"/>
  </w:style>
  <w:style w:type="table" w:styleId="TableGrid">
    <w:name w:val="Table Grid"/>
    <w:basedOn w:val="TableNormal"/>
    <w:uiPriority w:val="59"/>
    <w:rsid w:val="004F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0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BC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96C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C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e7ada6b3-e20d-4499-8089-a27089c517db">In progress 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4306CAFC6B444AFBEB77E195B3B14" ma:contentTypeVersion="3" ma:contentTypeDescription="Create a new document." ma:contentTypeScope="" ma:versionID="318877c5cc3d68c699ce9d87758ed632">
  <xsd:schema xmlns:xsd="http://www.w3.org/2001/XMLSchema" xmlns:xs="http://www.w3.org/2001/XMLSchema" xmlns:p="http://schemas.microsoft.com/office/2006/metadata/properties" xmlns:ns2="e7ada6b3-e20d-4499-8089-a27089c517db" xmlns:ns3="edd56262-f0a4-453d-ae7a-ece56286759c" targetNamespace="http://schemas.microsoft.com/office/2006/metadata/properties" ma:root="true" ma:fieldsID="94687f822d2e70b3f2215aff6d19d4ab" ns2:_="" ns3:_="">
    <xsd:import namespace="e7ada6b3-e20d-4499-8089-a27089c517db"/>
    <xsd:import namespace="edd56262-f0a4-453d-ae7a-ece56286759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da6b3-e20d-4499-8089-a27089c517d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In progress draft" ma:format="Dropdown" ma:internalName="Status">
      <xsd:simpleType>
        <xsd:restriction base="dms:Choice">
          <xsd:enumeration value="In progress draft"/>
          <xsd:enumeration value="Completed draft"/>
          <xsd:enumeration value="Completed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577B0-F7D4-421F-92DA-F7A586470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625C0-96DC-4A4B-B845-10294B64E35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7ada6b3-e20d-4499-8089-a27089c517db"/>
    <ds:schemaRef ds:uri="http://purl.org/dc/elements/1.1/"/>
    <ds:schemaRef ds:uri="edd56262-f0a4-453d-ae7a-ece56286759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AB91A1-DD00-4791-B3AD-08E8FA8E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da6b3-e20d-4499-8089-a27089c517db"/>
    <ds:schemaRef ds:uri="edd56262-f0a4-453d-ae7a-ece56286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McCallister, Susan</dc:creator>
  <cp:lastModifiedBy>McCallister, Susan</cp:lastModifiedBy>
  <cp:revision>2</cp:revision>
  <cp:lastPrinted>2015-02-11T01:14:00Z</cp:lastPrinted>
  <dcterms:created xsi:type="dcterms:W3CDTF">2017-03-16T15:09:00Z</dcterms:created>
  <dcterms:modified xsi:type="dcterms:W3CDTF">2017-03-16T15:09:00Z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0x01010085B4306CAFC6B444AFBEB77E195B3B14</vt:lpwstr>
  </property>
</Properties>
</file>