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2" w:type="dxa"/>
        <w:tblInd w:w="108" w:type="dxa"/>
        <w:tblLayout w:type="fixed"/>
        <w:tblCellMar>
          <w:left w:w="0" w:type="dxa"/>
          <w:right w:w="0" w:type="dxa"/>
        </w:tblCellMar>
        <w:tblLook w:val="01E0" w:firstRow="1" w:lastRow="1" w:firstColumn="1" w:lastColumn="1" w:noHBand="0" w:noVBand="0"/>
      </w:tblPr>
      <w:tblGrid>
        <w:gridCol w:w="2292"/>
        <w:gridCol w:w="270"/>
        <w:gridCol w:w="6750"/>
      </w:tblGrid>
      <w:tr w:rsidR="00B63FE3" w14:paraId="4E7A02C5" w14:textId="77777777" w:rsidTr="00000746">
        <w:trPr>
          <w:trHeight w:hRule="exact" w:val="1231"/>
        </w:trPr>
        <w:tc>
          <w:tcPr>
            <w:tcW w:w="2292" w:type="dxa"/>
            <w:tcBorders>
              <w:top w:val="single" w:sz="24" w:space="0" w:color="auto"/>
              <w:left w:val="single" w:sz="24" w:space="0" w:color="auto"/>
              <w:bottom w:val="single" w:sz="24" w:space="0" w:color="auto"/>
              <w:right w:val="single" w:sz="24" w:space="0" w:color="auto"/>
            </w:tcBorders>
          </w:tcPr>
          <w:p w14:paraId="5A21C3B6" w14:textId="563F512B" w:rsidR="00B63FE3" w:rsidRPr="004112F8" w:rsidRDefault="004427C5" w:rsidP="004112F8">
            <w:pPr>
              <w:pStyle w:val="Heading3"/>
              <w:spacing w:before="160" w:after="0" w:line="168" w:lineRule="auto"/>
              <w:ind w:left="0"/>
              <w:contextualSpacing/>
              <w:jc w:val="center"/>
              <w:rPr>
                <w:rFonts w:ascii="Calibri" w:hAnsi="Calibri" w:cs="Arial"/>
                <w:b/>
                <w:sz w:val="96"/>
                <w:szCs w:val="96"/>
                <w:u w:val="none"/>
              </w:rPr>
            </w:pPr>
            <w:r w:rsidRPr="004112F8">
              <w:rPr>
                <w:rFonts w:ascii="Calibri" w:hAnsi="Calibri" w:cs="Arial"/>
                <w:b/>
                <w:sz w:val="96"/>
                <w:szCs w:val="96"/>
                <w:u w:val="none"/>
              </w:rPr>
              <w:t>S</w:t>
            </w:r>
            <w:r w:rsidR="00B63FE3" w:rsidRPr="004112F8">
              <w:rPr>
                <w:rFonts w:ascii="Calibri" w:hAnsi="Calibri" w:cs="Arial"/>
                <w:b/>
                <w:sz w:val="96"/>
                <w:szCs w:val="96"/>
                <w:u w:val="none"/>
              </w:rPr>
              <w:t>DCI</w:t>
            </w:r>
          </w:p>
        </w:tc>
        <w:tc>
          <w:tcPr>
            <w:tcW w:w="270" w:type="dxa"/>
            <w:tcBorders>
              <w:top w:val="nil"/>
              <w:left w:val="single" w:sz="24" w:space="0" w:color="auto"/>
              <w:bottom w:val="nil"/>
              <w:right w:val="nil"/>
            </w:tcBorders>
          </w:tcPr>
          <w:p w14:paraId="5C5DFAB4" w14:textId="77777777" w:rsidR="00B63FE3" w:rsidRDefault="00B63FE3" w:rsidP="00000746">
            <w:r>
              <w:rPr>
                <w:noProof/>
              </w:rPr>
              <mc:AlternateContent>
                <mc:Choice Requires="wpg">
                  <w:drawing>
                    <wp:anchor distT="0" distB="0" distL="114300" distR="114300" simplePos="0" relativeHeight="251659264" behindDoc="1" locked="0" layoutInCell="1" allowOverlap="1" wp14:anchorId="6C676CBF" wp14:editId="56C3DC56">
                      <wp:simplePos x="0" y="0"/>
                      <wp:positionH relativeFrom="page">
                        <wp:posOffset>138954</wp:posOffset>
                      </wp:positionH>
                      <wp:positionV relativeFrom="page">
                        <wp:posOffset>-34649</wp:posOffset>
                      </wp:positionV>
                      <wp:extent cx="1270" cy="820420"/>
                      <wp:effectExtent l="27940" t="19050" r="18415" b="2730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0420"/>
                                <a:chOff x="3959" y="1440"/>
                                <a:chExt cx="2" cy="1292"/>
                              </a:xfrm>
                            </wpg:grpSpPr>
                            <wps:wsp>
                              <wps:cNvPr id="9" name="Freeform 10"/>
                              <wps:cNvSpPr>
                                <a:spLocks/>
                              </wps:cNvSpPr>
                              <wps:spPr bwMode="auto">
                                <a:xfrm>
                                  <a:off x="3959" y="1440"/>
                                  <a:ext cx="2" cy="1292"/>
                                </a:xfrm>
                                <a:custGeom>
                                  <a:avLst/>
                                  <a:gdLst>
                                    <a:gd name="T0" fmla="+- 0 1440 1440"/>
                                    <a:gd name="T1" fmla="*/ 1440 h 1292"/>
                                    <a:gd name="T2" fmla="+- 0 2731 1440"/>
                                    <a:gd name="T3" fmla="*/ 2731 h 1292"/>
                                  </a:gdLst>
                                  <a:ahLst/>
                                  <a:cxnLst>
                                    <a:cxn ang="0">
                                      <a:pos x="0" y="T1"/>
                                    </a:cxn>
                                    <a:cxn ang="0">
                                      <a:pos x="0" y="T3"/>
                                    </a:cxn>
                                  </a:cxnLst>
                                  <a:rect l="0" t="0" r="r" b="b"/>
                                  <a:pathLst>
                                    <a:path h="1292">
                                      <a:moveTo>
                                        <a:pt x="0" y="0"/>
                                      </a:moveTo>
                                      <a:lnTo>
                                        <a:pt x="0" y="12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760EB" id="Group 9" o:spid="_x0000_s1026" style="position:absolute;margin-left:10.95pt;margin-top:-2.75pt;width:.1pt;height:64.6pt;z-index:-251657216;mso-position-horizontal-relative:page;mso-position-vertical-relative:page" coordorigin="3959,1440" coordsize="2,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">
                      <v:shape id="Freeform 10" o:spid="_x0000_s1027" style="position:absolute;left:3959;top:1440;width:2;height:1292;visibility:visible;mso-wrap-style:square;v-text-anchor:top"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" path="m,l,1291e" filled="f" strokeweight="3pt">
                        <v:path arrowok="t" o:connecttype="custom" o:connectlocs="0,1440;0,2731" o:connectangles="0,0"/>
                      </v:shape>
                      <w10:wrap anchorx="page" anchory="page"/>
                    </v:group>
                  </w:pict>
                </mc:Fallback>
              </mc:AlternateContent>
            </w:r>
          </w:p>
        </w:tc>
        <w:tc>
          <w:tcPr>
            <w:tcW w:w="6750" w:type="dxa"/>
            <w:tcBorders>
              <w:top w:val="single" w:sz="24" w:space="0" w:color="000000"/>
              <w:left w:val="nil"/>
              <w:bottom w:val="single" w:sz="24" w:space="0" w:color="000000"/>
              <w:right w:val="single" w:sz="24" w:space="0" w:color="000000"/>
            </w:tcBorders>
          </w:tcPr>
          <w:p w14:paraId="1C67A036" w14:textId="4C4AA662" w:rsidR="00B63FE3" w:rsidRPr="002218D1" w:rsidRDefault="00B63FE3" w:rsidP="00000746">
            <w:pPr>
              <w:pStyle w:val="TableParagraph"/>
              <w:spacing w:before="238"/>
              <w:jc w:val="center"/>
              <w:rPr>
                <w:rFonts w:eastAsia="Arial" w:cs="Arial"/>
                <w:sz w:val="64"/>
                <w:szCs w:val="64"/>
              </w:rPr>
            </w:pPr>
            <w:r w:rsidRPr="002218D1">
              <w:rPr>
                <w:rFonts w:eastAsia="Arial" w:cs="Arial"/>
                <w:b/>
                <w:bCs/>
                <w:sz w:val="64"/>
                <w:szCs w:val="64"/>
              </w:rPr>
              <w:t>Director’s Rule</w:t>
            </w:r>
            <w:r w:rsidRPr="002218D1">
              <w:rPr>
                <w:rFonts w:eastAsia="Arial" w:cs="Arial"/>
                <w:b/>
                <w:bCs/>
                <w:spacing w:val="-2"/>
                <w:sz w:val="64"/>
                <w:szCs w:val="64"/>
              </w:rPr>
              <w:t xml:space="preserve"> </w:t>
            </w:r>
            <w:r w:rsidR="00463DE1">
              <w:rPr>
                <w:rFonts w:eastAsia="Arial" w:cs="Arial"/>
                <w:b/>
                <w:bCs/>
                <w:sz w:val="64"/>
                <w:szCs w:val="64"/>
              </w:rPr>
              <w:t>20</w:t>
            </w:r>
            <w:r w:rsidR="002A1009">
              <w:rPr>
                <w:rFonts w:eastAsia="Arial" w:cs="Arial"/>
                <w:b/>
                <w:bCs/>
                <w:sz w:val="64"/>
                <w:szCs w:val="64"/>
              </w:rPr>
              <w:t>-201</w:t>
            </w:r>
            <w:r w:rsidR="001C7ACA">
              <w:rPr>
                <w:rFonts w:eastAsia="Arial" w:cs="Arial"/>
                <w:b/>
                <w:bCs/>
                <w:sz w:val="64"/>
                <w:szCs w:val="64"/>
              </w:rPr>
              <w:t>8</w:t>
            </w:r>
          </w:p>
        </w:tc>
      </w:tr>
    </w:tbl>
    <w:p w14:paraId="39C92086" w14:textId="77777777" w:rsidR="00B63FE3" w:rsidRDefault="00B63FE3" w:rsidP="00B63FE3">
      <w:pPr>
        <w:rPr>
          <w:sz w:val="24"/>
          <w:szCs w:val="24"/>
        </w:rPr>
      </w:pPr>
    </w:p>
    <w:p w14:paraId="73F1902A" w14:textId="77777777" w:rsidR="00B63FE3" w:rsidRPr="00B6332F" w:rsidRDefault="00B63FE3" w:rsidP="00B63FE3">
      <w:pPr>
        <w:rPr>
          <w:sz w:val="24"/>
          <w:szCs w:val="24"/>
        </w:rPr>
      </w:pPr>
    </w:p>
    <w:tbl>
      <w:tblPr>
        <w:tblW w:w="0" w:type="auto"/>
        <w:tblInd w:w="84" w:type="dxa"/>
        <w:tblLayout w:type="fixed"/>
        <w:tblCellMar>
          <w:left w:w="84" w:type="dxa"/>
          <w:right w:w="84" w:type="dxa"/>
        </w:tblCellMar>
        <w:tblLook w:val="0000" w:firstRow="0" w:lastRow="0" w:firstColumn="0" w:lastColumn="0" w:noHBand="0" w:noVBand="0"/>
      </w:tblPr>
      <w:tblGrid>
        <w:gridCol w:w="5096"/>
        <w:gridCol w:w="2115"/>
        <w:gridCol w:w="2147"/>
      </w:tblGrid>
      <w:tr w:rsidR="00B63FE3" w:rsidRPr="00B6332F" w14:paraId="4E47EE18" w14:textId="77777777" w:rsidTr="00000746">
        <w:trPr>
          <w:cantSplit/>
          <w:trHeight w:val="780"/>
        </w:trPr>
        <w:tc>
          <w:tcPr>
            <w:tcW w:w="5096" w:type="dxa"/>
            <w:vMerge w:val="restart"/>
            <w:tcBorders>
              <w:top w:val="threeDEmboss" w:sz="6" w:space="0" w:color="auto"/>
              <w:left w:val="threeDEmboss" w:sz="6" w:space="0" w:color="auto"/>
              <w:bottom w:val="nil"/>
              <w:right w:val="threeDEmboss" w:sz="6" w:space="0" w:color="auto"/>
            </w:tcBorders>
          </w:tcPr>
          <w:p w14:paraId="15349325" w14:textId="77777777" w:rsidR="00B63FE3" w:rsidRDefault="00B63FE3" w:rsidP="00000746">
            <w:pPr>
              <w:rPr>
                <w:rFonts w:ascii="Arial" w:hAnsi="Arial" w:cs="Arial"/>
                <w:b/>
                <w:sz w:val="24"/>
                <w:szCs w:val="24"/>
              </w:rPr>
            </w:pPr>
            <w:r w:rsidRPr="007F115D">
              <w:rPr>
                <w:rFonts w:ascii="Arial" w:hAnsi="Arial" w:cs="Arial"/>
                <w:b/>
                <w:sz w:val="24"/>
                <w:szCs w:val="24"/>
              </w:rPr>
              <w:t>Applicant:</w:t>
            </w:r>
          </w:p>
          <w:p w14:paraId="1CFDBDE6" w14:textId="77777777" w:rsidR="003A55F5" w:rsidRDefault="003A55F5" w:rsidP="00000746">
            <w:pPr>
              <w:rPr>
                <w:rFonts w:ascii="Arial" w:hAnsi="Arial" w:cs="Arial"/>
                <w:b/>
                <w:sz w:val="24"/>
                <w:szCs w:val="24"/>
              </w:rPr>
            </w:pPr>
          </w:p>
          <w:p w14:paraId="4D6AD0A8" w14:textId="77777777" w:rsidR="003A55F5" w:rsidRPr="003A55F5" w:rsidRDefault="003A55F5" w:rsidP="00000746">
            <w:pPr>
              <w:rPr>
                <w:rFonts w:ascii="Arial" w:hAnsi="Arial" w:cs="Arial"/>
                <w:sz w:val="24"/>
                <w:szCs w:val="24"/>
              </w:rPr>
            </w:pPr>
            <w:r w:rsidRPr="003A55F5">
              <w:rPr>
                <w:rFonts w:ascii="Arial" w:hAnsi="Arial" w:cs="Arial"/>
                <w:sz w:val="24"/>
                <w:szCs w:val="24"/>
              </w:rPr>
              <w:t>City of Seattle</w:t>
            </w:r>
          </w:p>
          <w:p w14:paraId="15D3AE67" w14:textId="77777777" w:rsidR="003A55F5" w:rsidRPr="003A55F5" w:rsidRDefault="003A55F5" w:rsidP="00000746">
            <w:pPr>
              <w:rPr>
                <w:rFonts w:ascii="Arial" w:hAnsi="Arial" w:cs="Arial"/>
                <w:sz w:val="24"/>
                <w:szCs w:val="24"/>
              </w:rPr>
            </w:pPr>
            <w:r w:rsidRPr="003A55F5">
              <w:rPr>
                <w:rFonts w:ascii="Arial" w:hAnsi="Arial" w:cs="Arial"/>
                <w:sz w:val="24"/>
                <w:szCs w:val="24"/>
              </w:rPr>
              <w:t>Department of Construction and</w:t>
            </w:r>
          </w:p>
          <w:p w14:paraId="74D65213" w14:textId="77777777" w:rsidR="003A55F5" w:rsidRPr="003A55F5" w:rsidRDefault="003A55F5" w:rsidP="00000746">
            <w:pPr>
              <w:rPr>
                <w:rFonts w:ascii="Arial" w:hAnsi="Arial" w:cs="Arial"/>
                <w:sz w:val="24"/>
                <w:szCs w:val="24"/>
              </w:rPr>
            </w:pPr>
            <w:r w:rsidRPr="003A55F5">
              <w:rPr>
                <w:rFonts w:ascii="Arial" w:hAnsi="Arial" w:cs="Arial"/>
                <w:sz w:val="24"/>
                <w:szCs w:val="24"/>
              </w:rPr>
              <w:t>Inspections</w:t>
            </w:r>
          </w:p>
          <w:p w14:paraId="5D1786A1" w14:textId="77777777" w:rsidR="00B63FE3" w:rsidRPr="007F115D" w:rsidRDefault="00B63FE3" w:rsidP="00000746">
            <w:pPr>
              <w:rPr>
                <w:rFonts w:ascii="Arial" w:hAnsi="Arial" w:cs="Arial"/>
                <w:b/>
                <w:sz w:val="24"/>
                <w:szCs w:val="24"/>
              </w:rPr>
            </w:pPr>
          </w:p>
          <w:p w14:paraId="6A94C5B2" w14:textId="77777777" w:rsidR="00B63FE3" w:rsidRPr="007F115D" w:rsidRDefault="00B63FE3" w:rsidP="00000746">
            <w:pPr>
              <w:pStyle w:val="Blockquote"/>
              <w:spacing w:before="0" w:after="0"/>
              <w:rPr>
                <w:rFonts w:ascii="Arial" w:hAnsi="Arial" w:cs="Arial"/>
                <w:szCs w:val="24"/>
              </w:rPr>
            </w:pPr>
          </w:p>
        </w:tc>
        <w:tc>
          <w:tcPr>
            <w:tcW w:w="2115" w:type="dxa"/>
            <w:tcBorders>
              <w:top w:val="threeDEmboss" w:sz="6" w:space="0" w:color="auto"/>
              <w:left w:val="threeDEmboss" w:sz="6" w:space="0" w:color="auto"/>
              <w:bottom w:val="threeDEmboss" w:sz="6" w:space="0" w:color="auto"/>
              <w:right w:val="threeDEmboss" w:sz="6" w:space="0" w:color="auto"/>
            </w:tcBorders>
          </w:tcPr>
          <w:p w14:paraId="68713D7D" w14:textId="77777777" w:rsidR="00B63FE3" w:rsidRPr="007F115D" w:rsidRDefault="00B63FE3" w:rsidP="00000746">
            <w:pPr>
              <w:pStyle w:val="Heading5"/>
              <w:spacing w:before="0" w:after="120"/>
              <w:rPr>
                <w:rFonts w:ascii="Arial" w:hAnsi="Arial" w:cs="Arial"/>
                <w:i w:val="0"/>
                <w:sz w:val="24"/>
                <w:szCs w:val="24"/>
              </w:rPr>
            </w:pPr>
            <w:r w:rsidRPr="007F115D">
              <w:rPr>
                <w:rFonts w:ascii="Arial" w:hAnsi="Arial" w:cs="Arial"/>
                <w:i w:val="0"/>
                <w:sz w:val="24"/>
                <w:szCs w:val="24"/>
              </w:rPr>
              <w:t>Page</w:t>
            </w:r>
          </w:p>
          <w:p w14:paraId="5B50DFF7" w14:textId="3B351014" w:rsidR="00B63FE3" w:rsidRPr="007F115D" w:rsidRDefault="00B050DC" w:rsidP="00B63FE3">
            <w:pPr>
              <w:pStyle w:val="Header"/>
              <w:jc w:val="center"/>
              <w:rPr>
                <w:rFonts w:ascii="Arial" w:hAnsi="Arial" w:cs="Arial"/>
                <w:sz w:val="24"/>
                <w:szCs w:val="24"/>
              </w:rPr>
            </w:pPr>
            <w:r>
              <w:rPr>
                <w:rFonts w:ascii="Arial" w:hAnsi="Arial" w:cs="Arial"/>
                <w:sz w:val="24"/>
                <w:szCs w:val="24"/>
              </w:rPr>
              <w:t>1 of 2</w:t>
            </w:r>
          </w:p>
        </w:tc>
        <w:tc>
          <w:tcPr>
            <w:tcW w:w="2147" w:type="dxa"/>
            <w:tcBorders>
              <w:top w:val="threeDEmboss" w:sz="6" w:space="0" w:color="auto"/>
              <w:left w:val="threeDEmboss" w:sz="6" w:space="0" w:color="auto"/>
              <w:bottom w:val="threeDEmboss" w:sz="6" w:space="0" w:color="auto"/>
              <w:right w:val="threeDEmboss" w:sz="6" w:space="0" w:color="auto"/>
            </w:tcBorders>
          </w:tcPr>
          <w:p w14:paraId="48ACF4BA" w14:textId="77777777" w:rsidR="00B63FE3" w:rsidRPr="007F115D" w:rsidRDefault="00B63FE3" w:rsidP="00000746">
            <w:pPr>
              <w:spacing w:after="120"/>
              <w:rPr>
                <w:rFonts w:ascii="Arial" w:hAnsi="Arial" w:cs="Arial"/>
                <w:b/>
                <w:sz w:val="24"/>
                <w:szCs w:val="24"/>
              </w:rPr>
            </w:pPr>
            <w:r w:rsidRPr="007F115D">
              <w:rPr>
                <w:rFonts w:ascii="Arial" w:hAnsi="Arial" w:cs="Arial"/>
                <w:b/>
                <w:sz w:val="24"/>
                <w:szCs w:val="24"/>
              </w:rPr>
              <w:t>Supersedes:</w:t>
            </w:r>
          </w:p>
          <w:p w14:paraId="2E354FEC" w14:textId="77777777" w:rsidR="00B63FE3" w:rsidRPr="007F115D" w:rsidRDefault="00B63FE3" w:rsidP="00000746">
            <w:pPr>
              <w:jc w:val="center"/>
              <w:rPr>
                <w:rFonts w:ascii="Arial" w:hAnsi="Arial" w:cs="Arial"/>
                <w:sz w:val="24"/>
                <w:szCs w:val="24"/>
              </w:rPr>
            </w:pPr>
          </w:p>
        </w:tc>
      </w:tr>
      <w:tr w:rsidR="00B63FE3" w:rsidRPr="00B6332F" w14:paraId="5A9EA7DC" w14:textId="77777777" w:rsidTr="00000746">
        <w:trPr>
          <w:cantSplit/>
          <w:trHeight w:val="780"/>
        </w:trPr>
        <w:tc>
          <w:tcPr>
            <w:tcW w:w="5096" w:type="dxa"/>
            <w:vMerge/>
            <w:tcBorders>
              <w:top w:val="nil"/>
              <w:left w:val="threeDEmboss" w:sz="6" w:space="0" w:color="auto"/>
              <w:bottom w:val="nil"/>
              <w:right w:val="threeDEmboss" w:sz="6" w:space="0" w:color="auto"/>
            </w:tcBorders>
          </w:tcPr>
          <w:p w14:paraId="3885F4FF" w14:textId="77777777" w:rsidR="00B63FE3" w:rsidRPr="007F115D" w:rsidRDefault="00B63FE3" w:rsidP="00000746">
            <w:pPr>
              <w:rPr>
                <w:rFonts w:ascii="Arial" w:hAnsi="Arial" w:cs="Arial"/>
                <w:b/>
                <w:sz w:val="24"/>
                <w:szCs w:val="24"/>
              </w:rPr>
            </w:pPr>
          </w:p>
        </w:tc>
        <w:tc>
          <w:tcPr>
            <w:tcW w:w="2115" w:type="dxa"/>
            <w:tcBorders>
              <w:left w:val="threeDEmboss" w:sz="6" w:space="0" w:color="auto"/>
              <w:bottom w:val="nil"/>
              <w:right w:val="threeDEmboss" w:sz="6" w:space="0" w:color="auto"/>
            </w:tcBorders>
          </w:tcPr>
          <w:p w14:paraId="0614B228" w14:textId="77777777" w:rsidR="00B63FE3" w:rsidRPr="007F115D" w:rsidRDefault="00B63FE3" w:rsidP="00000746">
            <w:pPr>
              <w:spacing w:after="120"/>
              <w:rPr>
                <w:rFonts w:ascii="Arial" w:hAnsi="Arial" w:cs="Arial"/>
                <w:b/>
                <w:sz w:val="24"/>
                <w:szCs w:val="24"/>
              </w:rPr>
            </w:pPr>
            <w:r w:rsidRPr="007F115D">
              <w:rPr>
                <w:rFonts w:ascii="Arial" w:hAnsi="Arial" w:cs="Arial"/>
                <w:b/>
                <w:sz w:val="24"/>
                <w:szCs w:val="24"/>
              </w:rPr>
              <w:t>Publication:</w:t>
            </w:r>
          </w:p>
          <w:p w14:paraId="63036200" w14:textId="671A018F" w:rsidR="00B63FE3" w:rsidRPr="007F115D" w:rsidRDefault="00B050DC" w:rsidP="00000746">
            <w:pPr>
              <w:pStyle w:val="Header"/>
              <w:tabs>
                <w:tab w:val="clear" w:pos="4320"/>
                <w:tab w:val="clear" w:pos="8640"/>
              </w:tabs>
              <w:jc w:val="center"/>
              <w:rPr>
                <w:rFonts w:ascii="Arial" w:hAnsi="Arial" w:cs="Arial"/>
                <w:sz w:val="24"/>
                <w:szCs w:val="24"/>
              </w:rPr>
            </w:pPr>
            <w:r>
              <w:rPr>
                <w:rFonts w:ascii="Arial" w:hAnsi="Arial" w:cs="Arial"/>
                <w:sz w:val="24"/>
                <w:szCs w:val="24"/>
              </w:rPr>
              <w:t>July 9, 2018</w:t>
            </w:r>
          </w:p>
        </w:tc>
        <w:tc>
          <w:tcPr>
            <w:tcW w:w="2147" w:type="dxa"/>
            <w:tcBorders>
              <w:left w:val="threeDEmboss" w:sz="6" w:space="0" w:color="auto"/>
              <w:bottom w:val="threeDEmboss" w:sz="6" w:space="0" w:color="auto"/>
              <w:right w:val="threeDEmboss" w:sz="6" w:space="0" w:color="auto"/>
            </w:tcBorders>
          </w:tcPr>
          <w:p w14:paraId="13D3800E" w14:textId="77777777" w:rsidR="00B63FE3" w:rsidRPr="007F115D" w:rsidRDefault="00B63FE3" w:rsidP="00000746">
            <w:pPr>
              <w:spacing w:after="120"/>
              <w:rPr>
                <w:rFonts w:ascii="Arial" w:hAnsi="Arial" w:cs="Arial"/>
                <w:b/>
                <w:sz w:val="24"/>
                <w:szCs w:val="24"/>
              </w:rPr>
            </w:pPr>
            <w:r w:rsidRPr="007F115D">
              <w:rPr>
                <w:rFonts w:ascii="Arial" w:hAnsi="Arial" w:cs="Arial"/>
                <w:b/>
                <w:sz w:val="24"/>
                <w:szCs w:val="24"/>
              </w:rPr>
              <w:t>Effective:</w:t>
            </w:r>
          </w:p>
          <w:p w14:paraId="33E45BB3" w14:textId="32903BBE" w:rsidR="00B63FE3" w:rsidRPr="007F115D" w:rsidRDefault="00B050DC" w:rsidP="00000746">
            <w:pPr>
              <w:pStyle w:val="Header"/>
              <w:tabs>
                <w:tab w:val="clear" w:pos="4320"/>
                <w:tab w:val="clear" w:pos="8640"/>
              </w:tabs>
              <w:jc w:val="center"/>
              <w:rPr>
                <w:rFonts w:ascii="Arial" w:hAnsi="Arial" w:cs="Arial"/>
                <w:sz w:val="24"/>
                <w:szCs w:val="24"/>
              </w:rPr>
            </w:pPr>
            <w:r>
              <w:rPr>
                <w:rFonts w:ascii="Arial" w:hAnsi="Arial" w:cs="Arial"/>
                <w:sz w:val="24"/>
                <w:szCs w:val="24"/>
              </w:rPr>
              <w:t>August 6, 2018</w:t>
            </w:r>
          </w:p>
        </w:tc>
      </w:tr>
      <w:tr w:rsidR="00B63FE3" w:rsidRPr="00B6332F" w14:paraId="7895BE25" w14:textId="77777777" w:rsidTr="00000746">
        <w:trPr>
          <w:cantSplit/>
          <w:trHeight w:val="780"/>
        </w:trPr>
        <w:tc>
          <w:tcPr>
            <w:tcW w:w="5096" w:type="dxa"/>
            <w:vMerge w:val="restart"/>
            <w:tcBorders>
              <w:top w:val="threeDEmboss" w:sz="6" w:space="0" w:color="auto"/>
              <w:left w:val="threeDEmboss" w:sz="6" w:space="0" w:color="auto"/>
              <w:bottom w:val="nil"/>
              <w:right w:val="threeDEmboss" w:sz="6" w:space="0" w:color="auto"/>
            </w:tcBorders>
          </w:tcPr>
          <w:p w14:paraId="139A87DA" w14:textId="77777777" w:rsidR="00B63FE3" w:rsidRPr="007F115D" w:rsidRDefault="00B63FE3" w:rsidP="00000746">
            <w:pPr>
              <w:pStyle w:val="Blockquote"/>
              <w:tabs>
                <w:tab w:val="left" w:pos="4866"/>
              </w:tabs>
              <w:spacing w:before="0" w:after="240"/>
              <w:ind w:hanging="360"/>
              <w:rPr>
                <w:rFonts w:ascii="Arial" w:hAnsi="Arial" w:cs="Arial"/>
                <w:b/>
                <w:szCs w:val="24"/>
              </w:rPr>
            </w:pPr>
            <w:r w:rsidRPr="007F115D">
              <w:rPr>
                <w:rFonts w:ascii="Arial" w:hAnsi="Arial" w:cs="Arial"/>
                <w:b/>
                <w:szCs w:val="24"/>
              </w:rPr>
              <w:t xml:space="preserve">Subject: </w:t>
            </w:r>
          </w:p>
          <w:p w14:paraId="2A5A8360" w14:textId="77777777" w:rsidR="00B63FE3" w:rsidRPr="007F115D" w:rsidRDefault="00B63FE3" w:rsidP="00000746">
            <w:pPr>
              <w:pStyle w:val="Blockquote"/>
              <w:spacing w:before="0" w:after="0"/>
              <w:rPr>
                <w:rFonts w:ascii="Arial" w:hAnsi="Arial" w:cs="Arial"/>
                <w:szCs w:val="24"/>
              </w:rPr>
            </w:pPr>
          </w:p>
          <w:p w14:paraId="6D6EB0CC" w14:textId="77777777" w:rsidR="00B63FE3" w:rsidRPr="007F115D" w:rsidRDefault="00B63FE3" w:rsidP="00000746">
            <w:pPr>
              <w:pStyle w:val="Blockquote"/>
              <w:spacing w:before="0" w:after="0"/>
              <w:rPr>
                <w:rFonts w:ascii="Arial" w:hAnsi="Arial" w:cs="Arial"/>
                <w:szCs w:val="24"/>
              </w:rPr>
            </w:pPr>
          </w:p>
          <w:p w14:paraId="52ED2BAD" w14:textId="77777777" w:rsidR="00B63FE3" w:rsidRPr="00CA0675" w:rsidRDefault="00463DE1" w:rsidP="00B63FE3">
            <w:pPr>
              <w:ind w:left="432"/>
              <w:rPr>
                <w:sz w:val="24"/>
                <w:szCs w:val="24"/>
              </w:rPr>
            </w:pPr>
            <w:r w:rsidRPr="00CA0675">
              <w:rPr>
                <w:sz w:val="24"/>
                <w:szCs w:val="24"/>
              </w:rPr>
              <w:t>Implementation of March 22,2018</w:t>
            </w:r>
          </w:p>
          <w:p w14:paraId="0287CCB6" w14:textId="77777777" w:rsidR="00463DE1" w:rsidRPr="00CA0675" w:rsidRDefault="00463DE1" w:rsidP="00B63FE3">
            <w:pPr>
              <w:ind w:left="432"/>
              <w:rPr>
                <w:sz w:val="24"/>
                <w:szCs w:val="24"/>
              </w:rPr>
            </w:pPr>
            <w:r w:rsidRPr="00CA0675">
              <w:rPr>
                <w:sz w:val="24"/>
                <w:szCs w:val="24"/>
              </w:rPr>
              <w:t>USGS/SDCI Basin Amplification</w:t>
            </w:r>
          </w:p>
          <w:p w14:paraId="4A81616B" w14:textId="03B03408" w:rsidR="00463DE1" w:rsidRPr="007F115D" w:rsidRDefault="00463DE1" w:rsidP="00B63FE3">
            <w:pPr>
              <w:ind w:left="432"/>
              <w:rPr>
                <w:rFonts w:ascii="Arial" w:hAnsi="Arial" w:cs="Arial"/>
                <w:szCs w:val="24"/>
              </w:rPr>
            </w:pPr>
            <w:r w:rsidRPr="00CA0675">
              <w:rPr>
                <w:sz w:val="24"/>
                <w:szCs w:val="24"/>
              </w:rPr>
              <w:t>Workshop Results</w:t>
            </w:r>
          </w:p>
        </w:tc>
        <w:tc>
          <w:tcPr>
            <w:tcW w:w="4262" w:type="dxa"/>
            <w:gridSpan w:val="2"/>
            <w:tcBorders>
              <w:top w:val="threeDEmboss" w:sz="6" w:space="0" w:color="auto"/>
              <w:left w:val="threeDEmboss" w:sz="6" w:space="0" w:color="auto"/>
              <w:bottom w:val="threeDEmboss" w:sz="6" w:space="0" w:color="auto"/>
              <w:right w:val="threeDEmboss" w:sz="6" w:space="0" w:color="auto"/>
            </w:tcBorders>
          </w:tcPr>
          <w:p w14:paraId="60832182" w14:textId="77777777" w:rsidR="00B63FE3" w:rsidRPr="007F115D" w:rsidRDefault="00B63FE3" w:rsidP="00000746">
            <w:pPr>
              <w:spacing w:after="120"/>
              <w:rPr>
                <w:rFonts w:ascii="Arial" w:hAnsi="Arial" w:cs="Arial"/>
                <w:b/>
                <w:sz w:val="24"/>
                <w:szCs w:val="24"/>
              </w:rPr>
            </w:pPr>
            <w:r w:rsidRPr="007F115D">
              <w:rPr>
                <w:rFonts w:ascii="Arial" w:hAnsi="Arial" w:cs="Arial"/>
                <w:b/>
                <w:sz w:val="24"/>
                <w:szCs w:val="24"/>
              </w:rPr>
              <w:t>Code and Section Reference:</w:t>
            </w:r>
          </w:p>
          <w:p w14:paraId="77526587" w14:textId="77777777" w:rsidR="00B63FE3" w:rsidRPr="00CA0675" w:rsidRDefault="00463DE1" w:rsidP="00B63FE3">
            <w:pPr>
              <w:ind w:left="317"/>
              <w:rPr>
                <w:sz w:val="24"/>
                <w:szCs w:val="24"/>
              </w:rPr>
            </w:pPr>
            <w:r w:rsidRPr="00CA0675">
              <w:rPr>
                <w:sz w:val="24"/>
                <w:szCs w:val="24"/>
              </w:rPr>
              <w:t>2015 Seattle Building Code Section 1613.5.3</w:t>
            </w:r>
          </w:p>
          <w:p w14:paraId="21A957B0" w14:textId="1FD684CE" w:rsidR="00463DE1" w:rsidRPr="007F115D" w:rsidRDefault="00463DE1" w:rsidP="00B63FE3">
            <w:pPr>
              <w:ind w:left="317"/>
              <w:rPr>
                <w:rFonts w:ascii="Arial" w:hAnsi="Arial" w:cs="Arial"/>
                <w:sz w:val="24"/>
                <w:szCs w:val="24"/>
              </w:rPr>
            </w:pPr>
            <w:r w:rsidRPr="00CA0675">
              <w:rPr>
                <w:sz w:val="24"/>
                <w:szCs w:val="24"/>
              </w:rPr>
              <w:t>ASCE7-10 Chapter 21</w:t>
            </w:r>
          </w:p>
        </w:tc>
      </w:tr>
      <w:tr w:rsidR="00B63FE3" w:rsidRPr="00B6332F" w14:paraId="2DE504BA" w14:textId="77777777" w:rsidTr="00000746">
        <w:trPr>
          <w:cantSplit/>
          <w:trHeight w:val="780"/>
        </w:trPr>
        <w:tc>
          <w:tcPr>
            <w:tcW w:w="5096" w:type="dxa"/>
            <w:vMerge/>
            <w:tcBorders>
              <w:top w:val="nil"/>
              <w:left w:val="threeDEmboss" w:sz="6" w:space="0" w:color="auto"/>
              <w:bottom w:val="nil"/>
              <w:right w:val="threeDEmboss" w:sz="6" w:space="0" w:color="auto"/>
            </w:tcBorders>
          </w:tcPr>
          <w:p w14:paraId="23AC8F06" w14:textId="77777777" w:rsidR="00B63FE3" w:rsidRPr="007F115D" w:rsidRDefault="00B63FE3" w:rsidP="00000746">
            <w:pPr>
              <w:pStyle w:val="Blockquote"/>
              <w:rPr>
                <w:rFonts w:ascii="Arial" w:hAnsi="Arial" w:cs="Arial"/>
                <w:szCs w:val="24"/>
              </w:rPr>
            </w:pPr>
          </w:p>
        </w:tc>
        <w:tc>
          <w:tcPr>
            <w:tcW w:w="4262" w:type="dxa"/>
            <w:gridSpan w:val="2"/>
            <w:tcBorders>
              <w:top w:val="threeDEmboss" w:sz="6" w:space="0" w:color="auto"/>
              <w:left w:val="threeDEmboss" w:sz="6" w:space="0" w:color="auto"/>
              <w:bottom w:val="threeDEmboss" w:sz="6" w:space="0" w:color="auto"/>
              <w:right w:val="threeDEmboss" w:sz="6" w:space="0" w:color="auto"/>
            </w:tcBorders>
          </w:tcPr>
          <w:p w14:paraId="2DF79D24" w14:textId="77777777" w:rsidR="00B63FE3" w:rsidRPr="007F115D" w:rsidRDefault="00B63FE3" w:rsidP="00000746">
            <w:pPr>
              <w:spacing w:after="120"/>
              <w:rPr>
                <w:rFonts w:ascii="Arial" w:hAnsi="Arial" w:cs="Arial"/>
                <w:b/>
                <w:sz w:val="24"/>
                <w:szCs w:val="24"/>
              </w:rPr>
            </w:pPr>
            <w:r w:rsidRPr="007F115D">
              <w:rPr>
                <w:rFonts w:ascii="Arial" w:hAnsi="Arial" w:cs="Arial"/>
                <w:b/>
                <w:sz w:val="24"/>
                <w:szCs w:val="24"/>
              </w:rPr>
              <w:t>Type of Rule:</w:t>
            </w:r>
          </w:p>
          <w:p w14:paraId="0F543E41" w14:textId="3A453FA8" w:rsidR="00B63FE3" w:rsidRPr="00CA0675" w:rsidRDefault="00463DE1" w:rsidP="00000746">
            <w:pPr>
              <w:ind w:left="317"/>
              <w:rPr>
                <w:sz w:val="24"/>
                <w:szCs w:val="24"/>
              </w:rPr>
            </w:pPr>
            <w:r w:rsidRPr="00CA0675">
              <w:rPr>
                <w:sz w:val="24"/>
                <w:szCs w:val="24"/>
              </w:rPr>
              <w:t>Code Modification</w:t>
            </w:r>
          </w:p>
        </w:tc>
      </w:tr>
      <w:tr w:rsidR="00B63FE3" w:rsidRPr="00B6332F" w14:paraId="046566A3" w14:textId="77777777" w:rsidTr="00000746">
        <w:trPr>
          <w:cantSplit/>
          <w:trHeight w:val="780"/>
        </w:trPr>
        <w:tc>
          <w:tcPr>
            <w:tcW w:w="5096" w:type="dxa"/>
            <w:vMerge/>
            <w:tcBorders>
              <w:top w:val="nil"/>
              <w:left w:val="threeDEmboss" w:sz="6" w:space="0" w:color="auto"/>
              <w:bottom w:val="threeDEmboss" w:sz="6" w:space="0" w:color="auto"/>
              <w:right w:val="threeDEmboss" w:sz="6" w:space="0" w:color="auto"/>
            </w:tcBorders>
          </w:tcPr>
          <w:p w14:paraId="45F3277D" w14:textId="77777777" w:rsidR="00B63FE3" w:rsidRPr="007F115D" w:rsidRDefault="00B63FE3" w:rsidP="00000746">
            <w:pPr>
              <w:rPr>
                <w:rFonts w:ascii="Arial" w:hAnsi="Arial" w:cs="Arial"/>
                <w:sz w:val="24"/>
                <w:szCs w:val="24"/>
              </w:rPr>
            </w:pPr>
          </w:p>
        </w:tc>
        <w:tc>
          <w:tcPr>
            <w:tcW w:w="4262" w:type="dxa"/>
            <w:gridSpan w:val="2"/>
            <w:tcBorders>
              <w:top w:val="threeDEmboss" w:sz="6" w:space="0" w:color="auto"/>
              <w:left w:val="threeDEmboss" w:sz="6" w:space="0" w:color="auto"/>
              <w:bottom w:val="threeDEmboss" w:sz="6" w:space="0" w:color="auto"/>
              <w:right w:val="threeDEmboss" w:sz="6" w:space="0" w:color="auto"/>
            </w:tcBorders>
          </w:tcPr>
          <w:p w14:paraId="1C3ED109" w14:textId="77777777" w:rsidR="00B63FE3" w:rsidRPr="007F115D" w:rsidRDefault="00B63FE3" w:rsidP="00000746">
            <w:pPr>
              <w:spacing w:after="120"/>
              <w:rPr>
                <w:rFonts w:ascii="Arial" w:hAnsi="Arial" w:cs="Arial"/>
                <w:b/>
                <w:sz w:val="24"/>
                <w:szCs w:val="24"/>
              </w:rPr>
            </w:pPr>
            <w:r w:rsidRPr="007F115D">
              <w:rPr>
                <w:rFonts w:ascii="Arial" w:hAnsi="Arial" w:cs="Arial"/>
                <w:b/>
                <w:sz w:val="24"/>
                <w:szCs w:val="24"/>
              </w:rPr>
              <w:t>Ordinance Authority:</w:t>
            </w:r>
          </w:p>
          <w:p w14:paraId="30E60BF4" w14:textId="77777777" w:rsidR="00B63FE3" w:rsidRPr="00CA0675" w:rsidRDefault="00B63FE3" w:rsidP="00000746">
            <w:pPr>
              <w:ind w:left="317"/>
              <w:rPr>
                <w:sz w:val="24"/>
                <w:szCs w:val="24"/>
              </w:rPr>
            </w:pPr>
            <w:r w:rsidRPr="00CA0675">
              <w:rPr>
                <w:sz w:val="24"/>
                <w:szCs w:val="24"/>
              </w:rPr>
              <w:t>SMC 3.06.040</w:t>
            </w:r>
          </w:p>
        </w:tc>
      </w:tr>
      <w:tr w:rsidR="00B63FE3" w:rsidRPr="00B6332F" w14:paraId="35CAC677" w14:textId="77777777" w:rsidTr="00000746">
        <w:trPr>
          <w:trHeight w:val="780"/>
        </w:trPr>
        <w:tc>
          <w:tcPr>
            <w:tcW w:w="5096" w:type="dxa"/>
            <w:tcBorders>
              <w:top w:val="threeDEmboss" w:sz="6" w:space="0" w:color="auto"/>
              <w:left w:val="threeDEmboss" w:sz="6" w:space="0" w:color="auto"/>
              <w:bottom w:val="threeDEmboss" w:sz="6" w:space="0" w:color="auto"/>
              <w:right w:val="threeDEmboss" w:sz="6" w:space="0" w:color="auto"/>
            </w:tcBorders>
          </w:tcPr>
          <w:p w14:paraId="411F2A45" w14:textId="77777777" w:rsidR="00B63FE3" w:rsidRPr="007F115D" w:rsidRDefault="00B63FE3" w:rsidP="00000746">
            <w:pPr>
              <w:pStyle w:val="Blockquote"/>
              <w:spacing w:before="0" w:after="120"/>
              <w:ind w:left="0"/>
              <w:rPr>
                <w:rFonts w:ascii="Arial" w:hAnsi="Arial" w:cs="Arial"/>
                <w:b/>
                <w:szCs w:val="24"/>
              </w:rPr>
            </w:pPr>
            <w:r w:rsidRPr="007F115D">
              <w:rPr>
                <w:rFonts w:ascii="Arial" w:hAnsi="Arial" w:cs="Arial"/>
                <w:b/>
                <w:szCs w:val="24"/>
              </w:rPr>
              <w:t xml:space="preserve">Index:  </w:t>
            </w:r>
          </w:p>
          <w:p w14:paraId="63A5759A" w14:textId="6C1A407F" w:rsidR="003A55F5" w:rsidRPr="007F115D" w:rsidRDefault="00463DE1" w:rsidP="003A55F5">
            <w:pPr>
              <w:pStyle w:val="Blockquote"/>
              <w:spacing w:before="0"/>
              <w:ind w:left="0"/>
              <w:rPr>
                <w:rFonts w:ascii="Arial" w:hAnsi="Arial" w:cs="Arial"/>
                <w:szCs w:val="24"/>
              </w:rPr>
            </w:pPr>
            <w:r>
              <w:rPr>
                <w:rFonts w:ascii="Arial" w:hAnsi="Arial" w:cs="Arial"/>
                <w:szCs w:val="24"/>
              </w:rPr>
              <w:t>Seattle Building Code</w:t>
            </w:r>
          </w:p>
        </w:tc>
        <w:tc>
          <w:tcPr>
            <w:tcW w:w="4262" w:type="dxa"/>
            <w:gridSpan w:val="2"/>
            <w:tcBorders>
              <w:top w:val="threeDEmboss" w:sz="6" w:space="0" w:color="auto"/>
              <w:left w:val="threeDEmboss" w:sz="6" w:space="0" w:color="auto"/>
              <w:bottom w:val="threeDEmboss" w:sz="6" w:space="0" w:color="auto"/>
              <w:right w:val="threeDEmboss" w:sz="6" w:space="0" w:color="auto"/>
            </w:tcBorders>
          </w:tcPr>
          <w:p w14:paraId="5D9D7B4C" w14:textId="77777777" w:rsidR="00B63FE3" w:rsidRDefault="00B63FE3" w:rsidP="00000746">
            <w:pPr>
              <w:pStyle w:val="TableParagraph"/>
              <w:tabs>
                <w:tab w:val="left" w:pos="3271"/>
              </w:tabs>
              <w:spacing w:before="11"/>
              <w:ind w:left="64"/>
              <w:rPr>
                <w:rFonts w:ascii="Arial" w:eastAsia="Arial" w:hAnsi="Arial" w:cs="Arial"/>
                <w:sz w:val="20"/>
                <w:szCs w:val="20"/>
              </w:rPr>
            </w:pPr>
            <w:r>
              <w:rPr>
                <w:rFonts w:ascii="Arial"/>
                <w:b/>
                <w:w w:val="95"/>
                <w:sz w:val="20"/>
              </w:rPr>
              <w:t>Approved</w:t>
            </w:r>
            <w:r>
              <w:rPr>
                <w:rFonts w:ascii="Arial"/>
                <w:b/>
                <w:w w:val="95"/>
                <w:sz w:val="20"/>
              </w:rPr>
              <w:tab/>
            </w:r>
            <w:r>
              <w:rPr>
                <w:rFonts w:ascii="Arial"/>
                <w:b/>
                <w:sz w:val="20"/>
              </w:rPr>
              <w:t>Date</w:t>
            </w:r>
          </w:p>
          <w:p w14:paraId="7D8FF117" w14:textId="77777777" w:rsidR="00B63FE3" w:rsidRDefault="00B63FE3" w:rsidP="00000746">
            <w:pPr>
              <w:pStyle w:val="TableParagraph"/>
              <w:spacing w:before="10"/>
              <w:rPr>
                <w:rFonts w:ascii="Times New Roman" w:eastAsia="Times New Roman" w:hAnsi="Times New Roman" w:cs="Times New Roman"/>
                <w:sz w:val="27"/>
                <w:szCs w:val="27"/>
              </w:rPr>
            </w:pPr>
          </w:p>
          <w:p w14:paraId="1621016F" w14:textId="48963FE7" w:rsidR="00B63FE3" w:rsidRDefault="00D32048" w:rsidP="00000746">
            <w:pPr>
              <w:pStyle w:val="TableParagraph"/>
              <w:tabs>
                <w:tab w:val="left" w:pos="3035"/>
              </w:tabs>
              <w:ind w:left="62"/>
              <w:rPr>
                <w:rFonts w:ascii="Arial"/>
                <w:u w:val="single" w:color="000000"/>
              </w:rPr>
            </w:pPr>
            <w:r>
              <w:rPr>
                <w:rFonts w:ascii="Arial"/>
                <w:u w:val="single" w:color="000000"/>
              </w:rPr>
              <w:t>(signature on file)___________8/6/2018</w:t>
            </w:r>
            <w:bookmarkStart w:id="0" w:name="_GoBack"/>
            <w:bookmarkEnd w:id="0"/>
          </w:p>
          <w:p w14:paraId="4DFB1E6B" w14:textId="77777777" w:rsidR="00B63FE3" w:rsidRPr="007F115D" w:rsidRDefault="00B63FE3" w:rsidP="00000746">
            <w:pPr>
              <w:rPr>
                <w:rFonts w:ascii="Arial" w:hAnsi="Arial" w:cs="Arial"/>
                <w:sz w:val="24"/>
                <w:szCs w:val="24"/>
              </w:rPr>
            </w:pPr>
            <w:r>
              <w:rPr>
                <w:rFonts w:ascii="Microsoft Sans Serif"/>
                <w:sz w:val="16"/>
              </w:rPr>
              <w:t>Nathan Torgelson, Director,</w:t>
            </w:r>
            <w:r>
              <w:rPr>
                <w:rFonts w:ascii="Microsoft Sans Serif"/>
                <w:spacing w:val="-12"/>
                <w:sz w:val="16"/>
              </w:rPr>
              <w:t xml:space="preserve"> </w:t>
            </w:r>
            <w:r w:rsidR="004427C5">
              <w:rPr>
                <w:rFonts w:ascii="Microsoft Sans Serif"/>
                <w:spacing w:val="-12"/>
                <w:sz w:val="16"/>
              </w:rPr>
              <w:t>SDCI</w:t>
            </w:r>
          </w:p>
        </w:tc>
      </w:tr>
    </w:tbl>
    <w:p w14:paraId="3F2C83AB" w14:textId="77777777" w:rsidR="00B63FE3" w:rsidRPr="00B6332F" w:rsidRDefault="00B63FE3" w:rsidP="00B63FE3">
      <w:pPr>
        <w:rPr>
          <w:sz w:val="24"/>
          <w:szCs w:val="24"/>
        </w:rPr>
      </w:pPr>
      <w:bookmarkStart w:id="1" w:name="s1content"/>
      <w:bookmarkEnd w:id="1"/>
    </w:p>
    <w:p w14:paraId="29C4190E" w14:textId="77777777" w:rsidR="00B63FE3" w:rsidRPr="00B6332F" w:rsidRDefault="00B63FE3" w:rsidP="00B63FE3">
      <w:pPr>
        <w:rPr>
          <w:sz w:val="24"/>
          <w:szCs w:val="24"/>
        </w:rPr>
      </w:pPr>
      <w:r w:rsidRPr="00B6332F">
        <w:rPr>
          <w:b/>
          <w:sz w:val="24"/>
          <w:szCs w:val="24"/>
        </w:rPr>
        <w:t>BACKGROUND</w:t>
      </w:r>
    </w:p>
    <w:p w14:paraId="6301F112" w14:textId="77777777" w:rsidR="00B63FE3" w:rsidRPr="00B6332F" w:rsidRDefault="00B63FE3" w:rsidP="00B63FE3">
      <w:pPr>
        <w:rPr>
          <w:sz w:val="24"/>
          <w:szCs w:val="24"/>
        </w:rPr>
      </w:pPr>
    </w:p>
    <w:p w14:paraId="5EA8DCCD" w14:textId="77777777" w:rsidR="00463DE1" w:rsidRPr="00970B80" w:rsidRDefault="00463DE1" w:rsidP="00463DE1">
      <w:pPr>
        <w:rPr>
          <w:sz w:val="24"/>
          <w:szCs w:val="24"/>
        </w:rPr>
      </w:pPr>
      <w:r w:rsidRPr="00970B80">
        <w:rPr>
          <w:sz w:val="24"/>
          <w:szCs w:val="24"/>
        </w:rPr>
        <w:t xml:space="preserve">The Seattle Building Code (SBC) adopts the 2010 edition of the American Society of Civil Engineers Standard 7, </w:t>
      </w:r>
      <w:r w:rsidRPr="00970B80">
        <w:rPr>
          <w:sz w:val="24"/>
          <w:szCs w:val="24"/>
          <w:u w:val="single"/>
        </w:rPr>
        <w:t>Minimum Design Loads for Buildings and Other Structures</w:t>
      </w:r>
      <w:r w:rsidRPr="00970B80">
        <w:rPr>
          <w:sz w:val="24"/>
          <w:szCs w:val="24"/>
        </w:rPr>
        <w:t xml:space="preserve"> (ASCE 7-10) and its requirements for site-specific ground motion procedures. Per ASCE 7-10 Section 21.2, the site-specific “analysis shall incorporate current seismic interpretations, including uncertainties for models and parameter values for seismic sources and ground motions.”   Basin amplification factors due to the Seattle Basin are an important consideration in such analyses and are thus required by this rule.  </w:t>
      </w:r>
    </w:p>
    <w:p w14:paraId="5C8A2836" w14:textId="77777777" w:rsidR="00B63FE3" w:rsidRPr="00B6332F" w:rsidRDefault="00B63FE3" w:rsidP="00B63FE3">
      <w:pPr>
        <w:rPr>
          <w:sz w:val="24"/>
          <w:szCs w:val="24"/>
        </w:rPr>
      </w:pPr>
    </w:p>
    <w:p w14:paraId="4653F07D" w14:textId="7285A2DE" w:rsidR="00463DE1" w:rsidRPr="00463DE1" w:rsidRDefault="00463DE1" w:rsidP="00463DE1">
      <w:pPr>
        <w:rPr>
          <w:rFonts w:ascii="Microsoft Sans Serif" w:hAnsi="Microsoft Sans Serif" w:cs="Microsoft Sans Serif"/>
          <w:sz w:val="24"/>
          <w:szCs w:val="24"/>
        </w:rPr>
      </w:pPr>
      <w:r w:rsidRPr="00463DE1">
        <w:rPr>
          <w:sz w:val="24"/>
          <w:szCs w:val="24"/>
        </w:rPr>
        <w:t xml:space="preserve">On March 22, 2018, SDCI held a joint workshop with the United States Geological Survey (USGS), </w:t>
      </w:r>
      <w:r w:rsidRPr="00463DE1">
        <w:rPr>
          <w:rFonts w:eastAsia="Arial" w:cs="Arial"/>
          <w:sz w:val="24"/>
          <w:szCs w:val="24"/>
        </w:rPr>
        <w:t>“Incorporating results of the M9 project and other recent research to estimate Basin Effects in the design of Tall Buildings,”</w:t>
      </w:r>
      <w:r w:rsidRPr="00463DE1">
        <w:rPr>
          <w:sz w:val="24"/>
          <w:szCs w:val="24"/>
        </w:rPr>
        <w:t xml:space="preserve"> to discuss current basin amplification research. The goal of the workshop was to obtain consensus within the design and geotechnical peer review community as to how the results of current research would be applied to Seattle performance-based design projects. The participants at the workshop agreed that basin amplification factors for subduction sources are different than crustal sources.  Workshop participants agreed on </w:t>
      </w:r>
      <w:r w:rsidRPr="00463DE1">
        <w:rPr>
          <w:sz w:val="24"/>
          <w:szCs w:val="24"/>
        </w:rPr>
        <w:lastRenderedPageBreak/>
        <w:t xml:space="preserve">several recommendations, which SDCI is adopting via this Director’s Rule. A detailed summary of the workshop will be published by USGS </w:t>
      </w:r>
      <w:proofErr w:type="gramStart"/>
      <w:r w:rsidRPr="00463DE1">
        <w:rPr>
          <w:sz w:val="24"/>
          <w:szCs w:val="24"/>
        </w:rPr>
        <w:t>at a later date</w:t>
      </w:r>
      <w:proofErr w:type="gramEnd"/>
      <w:r w:rsidRPr="00463DE1">
        <w:rPr>
          <w:sz w:val="24"/>
          <w:szCs w:val="24"/>
        </w:rPr>
        <w:t xml:space="preserve">.    </w:t>
      </w:r>
    </w:p>
    <w:p w14:paraId="1556F52F" w14:textId="77777777" w:rsidR="00463DE1" w:rsidRDefault="00463DE1" w:rsidP="00B63FE3">
      <w:pPr>
        <w:rPr>
          <w:rFonts w:ascii="Microsoft Sans Serif" w:hAnsi="Microsoft Sans Serif" w:cs="Microsoft Sans Serif"/>
          <w:b/>
          <w:sz w:val="24"/>
          <w:szCs w:val="24"/>
        </w:rPr>
      </w:pPr>
    </w:p>
    <w:p w14:paraId="1F5E59F0" w14:textId="77777777" w:rsidR="00463DE1" w:rsidRDefault="00463DE1" w:rsidP="00B63FE3">
      <w:pPr>
        <w:rPr>
          <w:rFonts w:ascii="Microsoft Sans Serif" w:hAnsi="Microsoft Sans Serif" w:cs="Microsoft Sans Serif"/>
          <w:b/>
          <w:sz w:val="24"/>
          <w:szCs w:val="24"/>
        </w:rPr>
      </w:pPr>
    </w:p>
    <w:p w14:paraId="11D3FD63" w14:textId="432952CB" w:rsidR="00B63FE3" w:rsidRDefault="00B63FE3" w:rsidP="00B63FE3">
      <w:pPr>
        <w:rPr>
          <w:b/>
          <w:sz w:val="24"/>
          <w:szCs w:val="24"/>
        </w:rPr>
      </w:pPr>
      <w:r w:rsidRPr="00463DE1">
        <w:rPr>
          <w:b/>
          <w:sz w:val="24"/>
          <w:szCs w:val="24"/>
        </w:rPr>
        <w:t>RULE</w:t>
      </w:r>
    </w:p>
    <w:p w14:paraId="235A0B17" w14:textId="506846EC" w:rsidR="00463DE1" w:rsidRDefault="00463DE1" w:rsidP="00B63FE3">
      <w:pPr>
        <w:rPr>
          <w:b/>
          <w:sz w:val="24"/>
          <w:szCs w:val="24"/>
        </w:rPr>
      </w:pPr>
    </w:p>
    <w:p w14:paraId="37FFDA8B" w14:textId="77777777" w:rsidR="00463DE1" w:rsidRPr="00463DE1" w:rsidRDefault="00463DE1" w:rsidP="00463DE1">
      <w:pPr>
        <w:rPr>
          <w:sz w:val="24"/>
          <w:szCs w:val="24"/>
        </w:rPr>
      </w:pPr>
      <w:r w:rsidRPr="00463DE1">
        <w:rPr>
          <w:sz w:val="24"/>
          <w:szCs w:val="24"/>
        </w:rPr>
        <w:t>All building designs utilizing site-specific ground motion procedures shall incorporate basin effects in accordance with this Director’s Rule. Basin amplification factors for site-specific procedures shall be established in accordance with the following:</w:t>
      </w:r>
    </w:p>
    <w:p w14:paraId="6D6FE414" w14:textId="77777777" w:rsidR="00463DE1" w:rsidRPr="00463DE1" w:rsidRDefault="00463DE1" w:rsidP="00463DE1">
      <w:pPr>
        <w:pStyle w:val="ListParagraph"/>
        <w:widowControl w:val="0"/>
        <w:numPr>
          <w:ilvl w:val="0"/>
          <w:numId w:val="18"/>
        </w:numPr>
        <w:spacing w:before="100" w:beforeAutospacing="1" w:after="240" w:line="240" w:lineRule="auto"/>
        <w:contextualSpacing w:val="0"/>
        <w:rPr>
          <w:rFonts w:ascii="Times New Roman" w:hAnsi="Times New Roman"/>
          <w:sz w:val="24"/>
          <w:szCs w:val="24"/>
        </w:rPr>
      </w:pPr>
      <w:r w:rsidRPr="00463DE1">
        <w:rPr>
          <w:rFonts w:ascii="Times New Roman" w:hAnsi="Times New Roman"/>
          <w:sz w:val="24"/>
          <w:szCs w:val="24"/>
        </w:rPr>
        <w:t>The basin response shall be captured by multiplying the MCE</w:t>
      </w:r>
      <w:r w:rsidRPr="00463DE1">
        <w:rPr>
          <w:rFonts w:ascii="Times New Roman" w:hAnsi="Times New Roman"/>
          <w:sz w:val="24"/>
          <w:szCs w:val="24"/>
          <w:vertAlign w:val="subscript"/>
        </w:rPr>
        <w:t>R</w:t>
      </w:r>
      <w:r w:rsidRPr="00463DE1">
        <w:rPr>
          <w:rFonts w:ascii="Times New Roman" w:hAnsi="Times New Roman"/>
          <w:sz w:val="24"/>
          <w:szCs w:val="24"/>
        </w:rPr>
        <w:t xml:space="preserve"> spectrum from a site-specific PSHA by basin amplification factors in accordance with the USGS/SDCI 2013 workshop (USGS Open-File Report 2014-1196). The basin amplification factors shall be calculated for each type of earthquake source and weighted by percent contribution of the source for each period. Basin amplification factors shall be applied to sites within the Seattle basin as defined by geology, gravity, and aeromagnetic data.</w:t>
      </w:r>
    </w:p>
    <w:p w14:paraId="788DCE72" w14:textId="77777777" w:rsidR="00463DE1" w:rsidRPr="00463DE1" w:rsidRDefault="00463DE1" w:rsidP="00463DE1">
      <w:pPr>
        <w:pStyle w:val="ListParagraph"/>
        <w:widowControl w:val="0"/>
        <w:numPr>
          <w:ilvl w:val="0"/>
          <w:numId w:val="18"/>
        </w:numPr>
        <w:spacing w:before="100" w:beforeAutospacing="1" w:after="240" w:line="240" w:lineRule="auto"/>
        <w:contextualSpacing w:val="0"/>
        <w:rPr>
          <w:rFonts w:ascii="Times New Roman" w:hAnsi="Times New Roman"/>
          <w:sz w:val="24"/>
          <w:szCs w:val="24"/>
        </w:rPr>
      </w:pPr>
      <w:r w:rsidRPr="00463DE1">
        <w:rPr>
          <w:rFonts w:ascii="Times New Roman" w:hAnsi="Times New Roman"/>
          <w:sz w:val="24"/>
          <w:szCs w:val="24"/>
        </w:rPr>
        <w:t xml:space="preserve">Crustal sources – Use basin amplification factors from Campbell and </w:t>
      </w:r>
      <w:proofErr w:type="spellStart"/>
      <w:r w:rsidRPr="00463DE1">
        <w:rPr>
          <w:rFonts w:ascii="Times New Roman" w:hAnsi="Times New Roman"/>
          <w:sz w:val="24"/>
          <w:szCs w:val="24"/>
        </w:rPr>
        <w:t>Bozorgnia</w:t>
      </w:r>
      <w:proofErr w:type="spellEnd"/>
      <w:r w:rsidRPr="00463DE1">
        <w:rPr>
          <w:rFonts w:ascii="Times New Roman" w:hAnsi="Times New Roman"/>
          <w:sz w:val="24"/>
          <w:szCs w:val="24"/>
        </w:rPr>
        <w:t xml:space="preserve"> (2014), based on the Z</w:t>
      </w:r>
      <w:r w:rsidRPr="00463DE1">
        <w:rPr>
          <w:rFonts w:ascii="Times New Roman" w:hAnsi="Times New Roman"/>
          <w:sz w:val="24"/>
          <w:szCs w:val="24"/>
          <w:vertAlign w:val="subscript"/>
        </w:rPr>
        <w:t>2.5</w:t>
      </w:r>
      <w:r w:rsidRPr="00463DE1">
        <w:rPr>
          <w:rFonts w:ascii="Times New Roman" w:hAnsi="Times New Roman"/>
          <w:sz w:val="24"/>
          <w:szCs w:val="24"/>
        </w:rPr>
        <w:t xml:space="preserve"> from the Stephenson et al. (2017) velocity model. </w:t>
      </w:r>
    </w:p>
    <w:p w14:paraId="7335DCED" w14:textId="77777777" w:rsidR="00463DE1" w:rsidRPr="00463DE1" w:rsidRDefault="00463DE1" w:rsidP="00463DE1">
      <w:pPr>
        <w:pStyle w:val="ListParagraph"/>
        <w:widowControl w:val="0"/>
        <w:numPr>
          <w:ilvl w:val="0"/>
          <w:numId w:val="18"/>
        </w:numPr>
        <w:spacing w:before="100" w:beforeAutospacing="1" w:after="240" w:line="240" w:lineRule="auto"/>
        <w:contextualSpacing w:val="0"/>
        <w:rPr>
          <w:rFonts w:ascii="Times New Roman" w:hAnsi="Times New Roman"/>
          <w:sz w:val="24"/>
          <w:szCs w:val="24"/>
        </w:rPr>
      </w:pPr>
      <w:proofErr w:type="spellStart"/>
      <w:r w:rsidRPr="00463DE1">
        <w:rPr>
          <w:rFonts w:ascii="Times New Roman" w:hAnsi="Times New Roman"/>
          <w:sz w:val="24"/>
          <w:szCs w:val="24"/>
        </w:rPr>
        <w:t>Intraslab</w:t>
      </w:r>
      <w:proofErr w:type="spellEnd"/>
      <w:r w:rsidRPr="00463DE1">
        <w:rPr>
          <w:rFonts w:ascii="Times New Roman" w:hAnsi="Times New Roman"/>
          <w:sz w:val="24"/>
          <w:szCs w:val="24"/>
        </w:rPr>
        <w:t xml:space="preserve"> sources – Use observed Seattle basin amplification factors from local and regional earthquakes such as </w:t>
      </w:r>
      <w:r w:rsidRPr="00463DE1">
        <w:rPr>
          <w:rFonts w:ascii="Times New Roman" w:hAnsi="Times New Roman"/>
          <w:bCs/>
          <w:sz w:val="24"/>
          <w:szCs w:val="24"/>
        </w:rPr>
        <w:t>M</w:t>
      </w:r>
      <w:r w:rsidRPr="00463DE1">
        <w:rPr>
          <w:rFonts w:ascii="Times New Roman" w:hAnsi="Times New Roman"/>
          <w:sz w:val="24"/>
          <w:szCs w:val="24"/>
        </w:rPr>
        <w:t xml:space="preserve">6.8 2001 Nisqually and the </w:t>
      </w:r>
      <w:r w:rsidRPr="00463DE1">
        <w:rPr>
          <w:rFonts w:ascii="Times New Roman" w:hAnsi="Times New Roman"/>
          <w:bCs/>
          <w:sz w:val="24"/>
          <w:szCs w:val="24"/>
        </w:rPr>
        <w:t>M</w:t>
      </w:r>
      <w:r w:rsidRPr="00463DE1">
        <w:rPr>
          <w:rFonts w:ascii="Times New Roman" w:hAnsi="Times New Roman"/>
          <w:sz w:val="24"/>
          <w:szCs w:val="24"/>
        </w:rPr>
        <w:t>6.4 2004 Vancouver Island earthquakes (USGS Open-File Report 2014-1196).</w:t>
      </w:r>
    </w:p>
    <w:p w14:paraId="7469777D" w14:textId="77777777" w:rsidR="00463DE1" w:rsidRPr="00463DE1" w:rsidRDefault="00463DE1" w:rsidP="00463DE1">
      <w:pPr>
        <w:pStyle w:val="ListParagraph"/>
        <w:widowControl w:val="0"/>
        <w:numPr>
          <w:ilvl w:val="0"/>
          <w:numId w:val="18"/>
        </w:numPr>
        <w:spacing w:before="100" w:beforeAutospacing="1" w:after="240" w:line="240" w:lineRule="auto"/>
        <w:contextualSpacing w:val="0"/>
        <w:rPr>
          <w:rFonts w:ascii="Times New Roman" w:hAnsi="Times New Roman"/>
          <w:sz w:val="24"/>
          <w:szCs w:val="24"/>
        </w:rPr>
      </w:pPr>
      <w:r w:rsidRPr="00463DE1">
        <w:rPr>
          <w:rFonts w:ascii="Times New Roman" w:hAnsi="Times New Roman"/>
          <w:sz w:val="24"/>
          <w:szCs w:val="24"/>
        </w:rPr>
        <w:t>Subduction interface sources – Use the results of M9 Project basin amplification factors with a reference site of Z</w:t>
      </w:r>
      <w:r w:rsidRPr="00463DE1">
        <w:rPr>
          <w:rFonts w:ascii="Times New Roman" w:hAnsi="Times New Roman"/>
          <w:sz w:val="24"/>
          <w:szCs w:val="24"/>
          <w:vertAlign w:val="subscript"/>
        </w:rPr>
        <w:t xml:space="preserve">2.5 </w:t>
      </w:r>
      <w:r w:rsidRPr="00463DE1">
        <w:rPr>
          <w:rFonts w:ascii="Times New Roman" w:hAnsi="Times New Roman"/>
          <w:sz w:val="24"/>
          <w:szCs w:val="24"/>
        </w:rPr>
        <w:t>≈ 3km. This results in basin amplification factors that increase from 1.0 to 2.0 between periods of 0 to 2 seconds, and then remains constant at 2.0 at periods greater than 2 seconds.</w:t>
      </w:r>
    </w:p>
    <w:p w14:paraId="0D19FF4F" w14:textId="77777777" w:rsidR="00463DE1" w:rsidRPr="00463DE1" w:rsidRDefault="00463DE1" w:rsidP="00463DE1">
      <w:pPr>
        <w:rPr>
          <w:sz w:val="24"/>
          <w:szCs w:val="24"/>
        </w:rPr>
      </w:pPr>
      <w:r w:rsidRPr="00463DE1">
        <w:rPr>
          <w:sz w:val="24"/>
          <w:szCs w:val="24"/>
        </w:rPr>
        <w:t>These site-specific basin amplification ground motion procedures will be implemented starting December 1, 2018. The following projects are not required to implement the 2018 workshop results.</w:t>
      </w:r>
    </w:p>
    <w:p w14:paraId="396427C8" w14:textId="77777777" w:rsidR="00463DE1" w:rsidRPr="00463DE1" w:rsidRDefault="00463DE1" w:rsidP="00463DE1">
      <w:pPr>
        <w:ind w:left="270"/>
        <w:rPr>
          <w:sz w:val="24"/>
          <w:szCs w:val="24"/>
        </w:rPr>
      </w:pPr>
    </w:p>
    <w:p w14:paraId="5256F255" w14:textId="77777777" w:rsidR="00463DE1" w:rsidRPr="00463DE1" w:rsidRDefault="00463DE1" w:rsidP="00463DE1">
      <w:pPr>
        <w:pStyle w:val="ListParagraph"/>
        <w:widowControl w:val="0"/>
        <w:numPr>
          <w:ilvl w:val="0"/>
          <w:numId w:val="19"/>
        </w:numPr>
        <w:spacing w:after="0" w:line="240" w:lineRule="auto"/>
        <w:contextualSpacing w:val="0"/>
        <w:rPr>
          <w:rFonts w:ascii="Times New Roman" w:hAnsi="Times New Roman"/>
          <w:sz w:val="24"/>
          <w:szCs w:val="24"/>
        </w:rPr>
      </w:pPr>
      <w:r w:rsidRPr="00463DE1">
        <w:rPr>
          <w:rFonts w:ascii="Times New Roman" w:hAnsi="Times New Roman"/>
          <w:sz w:val="24"/>
          <w:szCs w:val="24"/>
        </w:rPr>
        <w:t>Code-prescriptive projects with a complete building permit application in accordance with SBC Section 101.3.1 prior to December 1, 2018.</w:t>
      </w:r>
    </w:p>
    <w:p w14:paraId="6C9B7613" w14:textId="77777777" w:rsidR="00463DE1" w:rsidRPr="00463DE1" w:rsidRDefault="00463DE1" w:rsidP="00463DE1">
      <w:pPr>
        <w:pStyle w:val="ListParagraph"/>
        <w:ind w:left="990"/>
        <w:rPr>
          <w:rFonts w:ascii="Times New Roman" w:hAnsi="Times New Roman"/>
          <w:sz w:val="24"/>
          <w:szCs w:val="24"/>
        </w:rPr>
      </w:pPr>
    </w:p>
    <w:p w14:paraId="230DB6E2" w14:textId="77777777" w:rsidR="00463DE1" w:rsidRPr="00463DE1" w:rsidRDefault="00463DE1" w:rsidP="00463DE1">
      <w:pPr>
        <w:pStyle w:val="ListParagraph"/>
        <w:widowControl w:val="0"/>
        <w:numPr>
          <w:ilvl w:val="0"/>
          <w:numId w:val="19"/>
        </w:numPr>
        <w:spacing w:after="0" w:line="240" w:lineRule="auto"/>
        <w:contextualSpacing w:val="0"/>
        <w:rPr>
          <w:rFonts w:ascii="Times New Roman" w:hAnsi="Times New Roman"/>
          <w:sz w:val="24"/>
          <w:szCs w:val="24"/>
        </w:rPr>
      </w:pPr>
      <w:r w:rsidRPr="00463DE1">
        <w:rPr>
          <w:rFonts w:ascii="Times New Roman" w:hAnsi="Times New Roman"/>
          <w:sz w:val="24"/>
          <w:szCs w:val="24"/>
        </w:rPr>
        <w:t>Projects utilizing a performance-based seismic design methodology with a peer review kick-off meeting prior to December 1, 2018. Previously approved analysis methods agreed to by the project geotechnical peer reviewer may be used.</w:t>
      </w:r>
    </w:p>
    <w:p w14:paraId="602DB8DE" w14:textId="77777777" w:rsidR="00463DE1" w:rsidRPr="00463DE1" w:rsidRDefault="00463DE1" w:rsidP="00463DE1">
      <w:pPr>
        <w:ind w:left="270"/>
        <w:rPr>
          <w:sz w:val="24"/>
          <w:szCs w:val="24"/>
        </w:rPr>
      </w:pPr>
    </w:p>
    <w:p w14:paraId="551A0266" w14:textId="77777777" w:rsidR="00463DE1" w:rsidRPr="00463DE1" w:rsidRDefault="00463DE1" w:rsidP="00463DE1">
      <w:pPr>
        <w:ind w:left="270"/>
        <w:rPr>
          <w:sz w:val="24"/>
          <w:szCs w:val="24"/>
        </w:rPr>
      </w:pPr>
      <w:r w:rsidRPr="00463DE1">
        <w:rPr>
          <w:sz w:val="24"/>
          <w:szCs w:val="24"/>
        </w:rPr>
        <w:t>The building owner can choose to implement the 2018 workshop results prior to December 1, 2018</w:t>
      </w:r>
      <w:bookmarkStart w:id="2" w:name="RULE:"/>
      <w:bookmarkEnd w:id="2"/>
      <w:r w:rsidRPr="00463DE1">
        <w:rPr>
          <w:sz w:val="24"/>
          <w:szCs w:val="24"/>
        </w:rPr>
        <w:t>.</w:t>
      </w:r>
    </w:p>
    <w:p w14:paraId="4B75B635" w14:textId="77777777" w:rsidR="00463DE1" w:rsidRPr="00463DE1" w:rsidRDefault="00463DE1" w:rsidP="00B63FE3">
      <w:pPr>
        <w:rPr>
          <w:b/>
          <w:sz w:val="24"/>
          <w:szCs w:val="24"/>
        </w:rPr>
      </w:pPr>
    </w:p>
    <w:p w14:paraId="6B9FCC24" w14:textId="77777777" w:rsidR="00B63FE3" w:rsidRPr="00B63FE3" w:rsidRDefault="00B63FE3" w:rsidP="00B63FE3">
      <w:pPr>
        <w:tabs>
          <w:tab w:val="left" w:pos="5535"/>
        </w:tabs>
        <w:rPr>
          <w:rFonts w:ascii="Microsoft Sans Serif" w:hAnsi="Microsoft Sans Serif" w:cs="Microsoft Sans Serif"/>
          <w:sz w:val="24"/>
          <w:szCs w:val="24"/>
        </w:rPr>
      </w:pPr>
      <w:r>
        <w:rPr>
          <w:rFonts w:ascii="Microsoft Sans Serif" w:hAnsi="Microsoft Sans Serif" w:cs="Microsoft Sans Serif"/>
          <w:sz w:val="24"/>
          <w:szCs w:val="24"/>
        </w:rPr>
        <w:tab/>
      </w:r>
    </w:p>
    <w:sectPr w:rsidR="00B63FE3" w:rsidRPr="00B63FE3" w:rsidSect="00B151CF">
      <w:headerReference w:type="even" r:id="rId7"/>
      <w:headerReference w:type="default" r:id="rId8"/>
      <w:footerReference w:type="first" r:id="rId9"/>
      <w:pgSz w:w="12240" w:h="15840" w:code="1"/>
      <w:pgMar w:top="1440" w:right="1584" w:bottom="1296" w:left="1584" w:header="720" w:footer="432" w:gutter="0"/>
      <w:pgBorders w:offsetFrom="page">
        <w:left w:val="single" w:sz="18" w:space="24" w:color="FFFFFF"/>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983A" w14:textId="77777777" w:rsidR="00B63FE3" w:rsidRDefault="00B63FE3" w:rsidP="00B63FE3">
      <w:r>
        <w:separator/>
      </w:r>
    </w:p>
  </w:endnote>
  <w:endnote w:type="continuationSeparator" w:id="0">
    <w:p w14:paraId="4CF92B20" w14:textId="77777777" w:rsidR="00B63FE3" w:rsidRDefault="00B63FE3" w:rsidP="00B6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4595" w14:textId="77777777" w:rsidR="00A824DF" w:rsidRDefault="00D32048"/>
  <w:tbl>
    <w:tblPr>
      <w:tblW w:w="9360" w:type="dxa"/>
      <w:tblInd w:w="108" w:type="dxa"/>
      <w:tblLayout w:type="fixed"/>
      <w:tblLook w:val="0000" w:firstRow="0" w:lastRow="0" w:firstColumn="0" w:lastColumn="0" w:noHBand="0" w:noVBand="0"/>
    </w:tblPr>
    <w:tblGrid>
      <w:gridCol w:w="6840"/>
      <w:gridCol w:w="2520"/>
    </w:tblGrid>
    <w:tr w:rsidR="00A824DF" w14:paraId="0FD273E3" w14:textId="77777777">
      <w:tc>
        <w:tcPr>
          <w:tcW w:w="6840" w:type="dxa"/>
          <w:tcBorders>
            <w:top w:val="single" w:sz="18" w:space="0" w:color="auto"/>
            <w:left w:val="nil"/>
            <w:bottom w:val="nil"/>
            <w:right w:val="nil"/>
          </w:tcBorders>
          <w:shd w:val="clear" w:color="auto" w:fill="auto"/>
        </w:tcPr>
        <w:p w14:paraId="12AB33CF" w14:textId="77777777" w:rsidR="00A824DF" w:rsidRPr="004310E8" w:rsidRDefault="00B63FE3" w:rsidP="00E929A1">
          <w:pPr>
            <w:pStyle w:val="Heading6"/>
            <w:spacing w:before="0" w:after="0"/>
            <w:rPr>
              <w:rFonts w:ascii="Arial" w:hAnsi="Arial" w:cs="Arial"/>
              <w:caps/>
              <w:sz w:val="16"/>
              <w:szCs w:val="16"/>
            </w:rPr>
          </w:pPr>
          <w:r w:rsidRPr="004310E8">
            <w:rPr>
              <w:rFonts w:ascii="Arial" w:hAnsi="Arial" w:cs="Arial"/>
              <w:sz w:val="16"/>
              <w:szCs w:val="16"/>
            </w:rPr>
            <w:t xml:space="preserve">City of Seattle </w:t>
          </w:r>
          <w:r>
            <w:rPr>
              <w:rFonts w:ascii="Arial" w:hAnsi="Arial" w:cs="Arial"/>
              <w:sz w:val="16"/>
              <w:szCs w:val="16"/>
            </w:rPr>
            <w:t>Department of Construction and Inspections</w:t>
          </w:r>
          <w:r w:rsidRPr="004310E8">
            <w:rPr>
              <w:rFonts w:ascii="Arial" w:hAnsi="Arial" w:cs="Arial"/>
              <w:caps/>
              <w:sz w:val="16"/>
              <w:szCs w:val="16"/>
            </w:rPr>
            <w:t xml:space="preserve"> </w:t>
          </w:r>
        </w:p>
      </w:tc>
      <w:tc>
        <w:tcPr>
          <w:tcW w:w="2520" w:type="dxa"/>
          <w:tcBorders>
            <w:top w:val="single" w:sz="18" w:space="0" w:color="auto"/>
            <w:left w:val="nil"/>
            <w:bottom w:val="nil"/>
            <w:right w:val="nil"/>
          </w:tcBorders>
          <w:shd w:val="clear" w:color="auto" w:fill="auto"/>
        </w:tcPr>
        <w:p w14:paraId="4CEF3509" w14:textId="5025B3D2" w:rsidR="00A824DF" w:rsidRDefault="00B63FE3" w:rsidP="007900DE">
          <w:pPr>
            <w:rPr>
              <w:rFonts w:ascii="Arial" w:hAnsi="Arial"/>
              <w:b/>
              <w:sz w:val="16"/>
            </w:rPr>
          </w:pPr>
          <w:r>
            <w:rPr>
              <w:rFonts w:ascii="Arial" w:hAnsi="Arial"/>
              <w:b/>
              <w:sz w:val="16"/>
            </w:rPr>
            <w:t>Nathan Torgels</w:t>
          </w:r>
          <w:r w:rsidR="006304DF">
            <w:rPr>
              <w:rFonts w:ascii="Arial" w:hAnsi="Arial"/>
              <w:b/>
              <w:sz w:val="16"/>
            </w:rPr>
            <w:t>o</w:t>
          </w:r>
          <w:r>
            <w:rPr>
              <w:rFonts w:ascii="Arial" w:hAnsi="Arial"/>
              <w:b/>
              <w:sz w:val="16"/>
            </w:rPr>
            <w:t>n, Director</w:t>
          </w:r>
        </w:p>
      </w:tc>
    </w:tr>
    <w:tr w:rsidR="00A824DF" w14:paraId="092E6F8B" w14:textId="77777777">
      <w:tc>
        <w:tcPr>
          <w:tcW w:w="6840" w:type="dxa"/>
          <w:shd w:val="clear" w:color="auto" w:fill="auto"/>
        </w:tcPr>
        <w:p w14:paraId="17B4883C" w14:textId="77777777" w:rsidR="00A824DF" w:rsidRPr="004310E8" w:rsidRDefault="00B63FE3" w:rsidP="004310E8">
          <w:pPr>
            <w:pStyle w:val="Heading6"/>
            <w:spacing w:before="0" w:after="0"/>
            <w:rPr>
              <w:rFonts w:ascii="Arial" w:hAnsi="Arial" w:cs="Arial"/>
              <w:b w:val="0"/>
              <w:sz w:val="16"/>
              <w:szCs w:val="16"/>
            </w:rPr>
          </w:pPr>
          <w:smartTag w:uri="urn:schemas-microsoft-com:office:smarttags" w:element="address">
            <w:smartTag w:uri="urn:schemas-microsoft-com:office:smarttags" w:element="Street">
              <w:r w:rsidRPr="004310E8">
                <w:rPr>
                  <w:rFonts w:ascii="Arial" w:hAnsi="Arial" w:cs="Arial"/>
                  <w:b w:val="0"/>
                  <w:sz w:val="16"/>
                  <w:szCs w:val="16"/>
                </w:rPr>
                <w:t>700 Fifth Avenue, Suite 2000, PO Box 34019</w:t>
              </w:r>
            </w:smartTag>
            <w:r w:rsidRPr="004310E8">
              <w:rPr>
                <w:rFonts w:ascii="Arial" w:hAnsi="Arial" w:cs="Arial"/>
                <w:b w:val="0"/>
                <w:sz w:val="16"/>
                <w:szCs w:val="16"/>
              </w:rPr>
              <w:t xml:space="preserve">, </w:t>
            </w:r>
            <w:smartTag w:uri="urn:schemas-microsoft-com:office:smarttags" w:element="City">
              <w:r w:rsidRPr="004310E8">
                <w:rPr>
                  <w:rFonts w:ascii="Arial" w:hAnsi="Arial" w:cs="Arial"/>
                  <w:b w:val="0"/>
                  <w:sz w:val="16"/>
                  <w:szCs w:val="16"/>
                </w:rPr>
                <w:t>Seattle</w:t>
              </w:r>
            </w:smartTag>
            <w:r w:rsidRPr="004310E8">
              <w:rPr>
                <w:rFonts w:ascii="Arial" w:hAnsi="Arial" w:cs="Arial"/>
                <w:b w:val="0"/>
                <w:sz w:val="16"/>
                <w:szCs w:val="16"/>
              </w:rPr>
              <w:t xml:space="preserve">, </w:t>
            </w:r>
            <w:smartTag w:uri="urn:schemas-microsoft-com:office:smarttags" w:element="State">
              <w:r w:rsidRPr="004310E8">
                <w:rPr>
                  <w:rFonts w:ascii="Arial" w:hAnsi="Arial" w:cs="Arial"/>
                  <w:b w:val="0"/>
                  <w:sz w:val="16"/>
                  <w:szCs w:val="16"/>
                </w:rPr>
                <w:t>WA</w:t>
              </w:r>
            </w:smartTag>
            <w:r w:rsidRPr="004310E8">
              <w:rPr>
                <w:rFonts w:ascii="Arial" w:hAnsi="Arial" w:cs="Arial"/>
                <w:b w:val="0"/>
                <w:sz w:val="16"/>
                <w:szCs w:val="16"/>
              </w:rPr>
              <w:t xml:space="preserve"> </w:t>
            </w:r>
            <w:smartTag w:uri="urn:schemas-microsoft-com:office:smarttags" w:element="PostalCode">
              <w:r w:rsidRPr="004310E8">
                <w:rPr>
                  <w:rFonts w:ascii="Arial" w:hAnsi="Arial" w:cs="Arial"/>
                  <w:b w:val="0"/>
                  <w:sz w:val="16"/>
                  <w:szCs w:val="16"/>
                </w:rPr>
                <w:t>98124-4019</w:t>
              </w:r>
            </w:smartTag>
          </w:smartTag>
        </w:p>
      </w:tc>
      <w:tc>
        <w:tcPr>
          <w:tcW w:w="2520" w:type="dxa"/>
          <w:shd w:val="clear" w:color="auto" w:fill="auto"/>
        </w:tcPr>
        <w:p w14:paraId="03DB2531" w14:textId="77777777" w:rsidR="00A824DF" w:rsidRDefault="00D32048" w:rsidP="007900DE">
          <w:pPr>
            <w:rPr>
              <w:rFonts w:ascii="Arial" w:hAnsi="Arial"/>
              <w:b/>
              <w:sz w:val="16"/>
            </w:rPr>
          </w:pPr>
        </w:p>
      </w:tc>
    </w:tr>
  </w:tbl>
  <w:p w14:paraId="5579D773" w14:textId="77777777" w:rsidR="00A824DF" w:rsidRDefault="00D32048" w:rsidP="00431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C04F" w14:textId="77777777" w:rsidR="00B63FE3" w:rsidRDefault="00B63FE3" w:rsidP="00B63FE3">
      <w:r>
        <w:separator/>
      </w:r>
    </w:p>
  </w:footnote>
  <w:footnote w:type="continuationSeparator" w:id="0">
    <w:p w14:paraId="2C450978" w14:textId="77777777" w:rsidR="00B63FE3" w:rsidRDefault="00B63FE3" w:rsidP="00B6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D20E" w14:textId="77777777" w:rsidR="00A824DF" w:rsidRDefault="00B63FE3" w:rsidP="007F115D">
    <w:pPr>
      <w:pStyle w:val="Header"/>
      <w:rPr>
        <w:rFonts w:ascii="Microsoft Sans Serif" w:hAnsi="Microsoft Sans Serif"/>
        <w:sz w:val="16"/>
      </w:rPr>
    </w:pPr>
    <w:r>
      <w:rPr>
        <w:rFonts w:ascii="Microsoft Sans Serif" w:hAnsi="Microsoft Sans Serif"/>
        <w:sz w:val="16"/>
      </w:rPr>
      <w:t>SDCI Director’s Rule 11-2016</w:t>
    </w:r>
  </w:p>
  <w:p w14:paraId="64DB1EE0" w14:textId="77777777" w:rsidR="00A824DF" w:rsidRDefault="00B63FE3" w:rsidP="007F115D">
    <w:pPr>
      <w:pStyle w:val="Header"/>
      <w:rPr>
        <w:rFonts w:ascii="Microsoft Sans Serif" w:hAnsi="Microsoft Sans Serif"/>
        <w:snapToGrid w:val="0"/>
        <w:sz w:val="16"/>
      </w:rPr>
    </w:pPr>
    <w:r>
      <w:rPr>
        <w:rFonts w:ascii="Microsoft Sans Serif" w:hAnsi="Microsoft Sans Serif"/>
        <w:sz w:val="16"/>
      </w:rPr>
      <w:t xml:space="preserve">Page </w:t>
    </w:r>
    <w:r>
      <w:rPr>
        <w:rStyle w:val="PageNumber"/>
        <w:rFonts w:ascii="Microsoft Sans Serif" w:hAnsi="Microsoft Sans Serif"/>
        <w:sz w:val="16"/>
      </w:rPr>
      <w:fldChar w:fldCharType="begin"/>
    </w:r>
    <w:r>
      <w:rPr>
        <w:rStyle w:val="PageNumber"/>
        <w:rFonts w:ascii="Microsoft Sans Serif" w:hAnsi="Microsoft Sans Serif"/>
        <w:sz w:val="16"/>
      </w:rPr>
      <w:instrText xml:space="preserve"> PAGE </w:instrText>
    </w:r>
    <w:r>
      <w:rPr>
        <w:rStyle w:val="PageNumber"/>
        <w:rFonts w:ascii="Microsoft Sans Serif" w:hAnsi="Microsoft Sans Serif"/>
        <w:sz w:val="16"/>
      </w:rPr>
      <w:fldChar w:fldCharType="separate"/>
    </w:r>
    <w:r>
      <w:rPr>
        <w:rStyle w:val="PageNumber"/>
        <w:rFonts w:ascii="Microsoft Sans Serif" w:hAnsi="Microsoft Sans Serif"/>
        <w:noProof/>
        <w:sz w:val="16"/>
      </w:rPr>
      <w:t>2</w:t>
    </w:r>
    <w:r>
      <w:rPr>
        <w:rStyle w:val="PageNumber"/>
        <w:rFonts w:ascii="Microsoft Sans Serif" w:hAnsi="Microsoft Sans Serif"/>
        <w:sz w:val="16"/>
      </w:rPr>
      <w:fldChar w:fldCharType="end"/>
    </w:r>
    <w:r>
      <w:rPr>
        <w:rStyle w:val="PageNumber"/>
        <w:rFonts w:ascii="Microsoft Sans Serif" w:hAnsi="Microsoft Sans Serif"/>
        <w:sz w:val="16"/>
      </w:rPr>
      <w:t xml:space="preserve"> of </w:t>
    </w:r>
    <w:r>
      <w:rPr>
        <w:rStyle w:val="PageNumber"/>
        <w:rFonts w:ascii="Microsoft Sans Serif" w:hAnsi="Microsoft Sans Serif"/>
        <w:sz w:val="16"/>
      </w:rPr>
      <w:fldChar w:fldCharType="begin"/>
    </w:r>
    <w:r>
      <w:rPr>
        <w:rStyle w:val="PageNumber"/>
        <w:rFonts w:ascii="Microsoft Sans Serif" w:hAnsi="Microsoft Sans Serif"/>
        <w:sz w:val="16"/>
      </w:rPr>
      <w:instrText xml:space="preserve"> NUMPAGES </w:instrText>
    </w:r>
    <w:r>
      <w:rPr>
        <w:rStyle w:val="PageNumber"/>
        <w:rFonts w:ascii="Microsoft Sans Serif" w:hAnsi="Microsoft Sans Serif"/>
        <w:sz w:val="16"/>
      </w:rPr>
      <w:fldChar w:fldCharType="separate"/>
    </w:r>
    <w:r>
      <w:rPr>
        <w:rStyle w:val="PageNumber"/>
        <w:rFonts w:ascii="Microsoft Sans Serif" w:hAnsi="Microsoft Sans Serif"/>
        <w:noProof/>
        <w:sz w:val="16"/>
      </w:rPr>
      <w:t>5</w:t>
    </w:r>
    <w:r>
      <w:rPr>
        <w:rStyle w:val="PageNumber"/>
        <w:rFonts w:ascii="Microsoft Sans Serif" w:hAnsi="Microsoft Sans Serif"/>
        <w:sz w:val="16"/>
      </w:rPr>
      <w:fldChar w:fldCharType="end"/>
    </w:r>
  </w:p>
  <w:p w14:paraId="453C75A1" w14:textId="77777777" w:rsidR="00A824DF" w:rsidRDefault="00D32048" w:rsidP="00897662">
    <w:pPr>
      <w:pStyle w:val="Header"/>
    </w:pPr>
  </w:p>
  <w:p w14:paraId="3B797DCD" w14:textId="77777777" w:rsidR="00A824DF" w:rsidRDefault="00D3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0C39" w14:textId="54F5257D" w:rsidR="00A824DF" w:rsidRPr="007F115D" w:rsidRDefault="00B63FE3" w:rsidP="007F115D">
    <w:pPr>
      <w:pStyle w:val="Header"/>
      <w:rPr>
        <w:rFonts w:ascii="Microsoft Sans Serif" w:hAnsi="Microsoft Sans Serif" w:cs="Microsoft Sans Serif"/>
        <w:sz w:val="16"/>
      </w:rPr>
    </w:pPr>
    <w:r>
      <w:rPr>
        <w:rFonts w:ascii="Microsoft Sans Serif" w:hAnsi="Microsoft Sans Serif" w:cs="Microsoft Sans Serif"/>
        <w:sz w:val="16"/>
      </w:rPr>
      <w:t xml:space="preserve">SDCI </w:t>
    </w:r>
    <w:r w:rsidRPr="007F115D">
      <w:rPr>
        <w:rFonts w:ascii="Microsoft Sans Serif" w:hAnsi="Microsoft Sans Serif" w:cs="Microsoft Sans Serif"/>
        <w:sz w:val="16"/>
      </w:rPr>
      <w:t xml:space="preserve">Director’s Rule </w:t>
    </w:r>
    <w:r w:rsidR="00B050DC">
      <w:rPr>
        <w:rFonts w:ascii="Microsoft Sans Serif" w:hAnsi="Microsoft Sans Serif" w:cs="Microsoft Sans Serif"/>
        <w:sz w:val="16"/>
      </w:rPr>
      <w:t>20</w:t>
    </w:r>
    <w:r w:rsidR="001C7ACA">
      <w:rPr>
        <w:rFonts w:ascii="Microsoft Sans Serif" w:hAnsi="Microsoft Sans Serif" w:cs="Microsoft Sans Serif"/>
        <w:sz w:val="16"/>
      </w:rPr>
      <w:t>-2018</w:t>
    </w:r>
  </w:p>
  <w:p w14:paraId="6AF89AEE" w14:textId="5144B668" w:rsidR="00A824DF" w:rsidRPr="007F115D" w:rsidRDefault="00B63FE3" w:rsidP="007F115D">
    <w:pPr>
      <w:pStyle w:val="Header"/>
      <w:rPr>
        <w:rFonts w:ascii="Microsoft Sans Serif" w:hAnsi="Microsoft Sans Serif" w:cs="Microsoft Sans Serif"/>
        <w:snapToGrid w:val="0"/>
        <w:sz w:val="16"/>
      </w:rPr>
    </w:pPr>
    <w:r w:rsidRPr="007F115D">
      <w:rPr>
        <w:rFonts w:ascii="Microsoft Sans Serif" w:hAnsi="Microsoft Sans Serif" w:cs="Microsoft Sans Serif"/>
        <w:sz w:val="16"/>
      </w:rPr>
      <w:t xml:space="preserve">Page </w:t>
    </w:r>
    <w:r w:rsidRPr="007F115D">
      <w:rPr>
        <w:rStyle w:val="PageNumber"/>
        <w:rFonts w:ascii="Microsoft Sans Serif" w:hAnsi="Microsoft Sans Serif" w:cs="Microsoft Sans Serif"/>
        <w:sz w:val="16"/>
      </w:rPr>
      <w:fldChar w:fldCharType="begin"/>
    </w:r>
    <w:r w:rsidRPr="007F115D">
      <w:rPr>
        <w:rStyle w:val="PageNumber"/>
        <w:rFonts w:ascii="Microsoft Sans Serif" w:hAnsi="Microsoft Sans Serif" w:cs="Microsoft Sans Serif"/>
        <w:sz w:val="16"/>
      </w:rPr>
      <w:instrText xml:space="preserve"> PAGE </w:instrText>
    </w:r>
    <w:r w:rsidRPr="007F115D">
      <w:rPr>
        <w:rStyle w:val="PageNumber"/>
        <w:rFonts w:ascii="Microsoft Sans Serif" w:hAnsi="Microsoft Sans Serif" w:cs="Microsoft Sans Serif"/>
        <w:sz w:val="16"/>
      </w:rPr>
      <w:fldChar w:fldCharType="separate"/>
    </w:r>
    <w:r w:rsidR="001C7ACA">
      <w:rPr>
        <w:rStyle w:val="PageNumber"/>
        <w:rFonts w:ascii="Microsoft Sans Serif" w:hAnsi="Microsoft Sans Serif" w:cs="Microsoft Sans Serif"/>
        <w:noProof/>
        <w:sz w:val="16"/>
      </w:rPr>
      <w:t>2</w:t>
    </w:r>
    <w:r w:rsidRPr="007F115D">
      <w:rPr>
        <w:rStyle w:val="PageNumber"/>
        <w:rFonts w:ascii="Microsoft Sans Serif" w:hAnsi="Microsoft Sans Serif" w:cs="Microsoft Sans Serif"/>
        <w:sz w:val="16"/>
      </w:rPr>
      <w:fldChar w:fldCharType="end"/>
    </w:r>
    <w:r w:rsidRPr="007F115D">
      <w:rPr>
        <w:rStyle w:val="PageNumber"/>
        <w:rFonts w:ascii="Microsoft Sans Serif" w:hAnsi="Microsoft Sans Serif" w:cs="Microsoft Sans Serif"/>
        <w:sz w:val="16"/>
      </w:rPr>
      <w:t xml:space="preserve"> of </w:t>
    </w:r>
    <w:r w:rsidRPr="007F115D">
      <w:rPr>
        <w:rStyle w:val="PageNumber"/>
        <w:rFonts w:ascii="Microsoft Sans Serif" w:hAnsi="Microsoft Sans Serif" w:cs="Microsoft Sans Serif"/>
        <w:sz w:val="16"/>
      </w:rPr>
      <w:fldChar w:fldCharType="begin"/>
    </w:r>
    <w:r w:rsidRPr="007F115D">
      <w:rPr>
        <w:rStyle w:val="PageNumber"/>
        <w:rFonts w:ascii="Microsoft Sans Serif" w:hAnsi="Microsoft Sans Serif" w:cs="Microsoft Sans Serif"/>
        <w:sz w:val="16"/>
      </w:rPr>
      <w:instrText xml:space="preserve"> NUMPAGES </w:instrText>
    </w:r>
    <w:r w:rsidRPr="007F115D">
      <w:rPr>
        <w:rStyle w:val="PageNumber"/>
        <w:rFonts w:ascii="Microsoft Sans Serif" w:hAnsi="Microsoft Sans Serif" w:cs="Microsoft Sans Serif"/>
        <w:sz w:val="16"/>
      </w:rPr>
      <w:fldChar w:fldCharType="separate"/>
    </w:r>
    <w:r w:rsidR="001C7ACA">
      <w:rPr>
        <w:rStyle w:val="PageNumber"/>
        <w:rFonts w:ascii="Microsoft Sans Serif" w:hAnsi="Microsoft Sans Serif" w:cs="Microsoft Sans Serif"/>
        <w:noProof/>
        <w:sz w:val="16"/>
      </w:rPr>
      <w:t>2</w:t>
    </w:r>
    <w:r w:rsidRPr="007F115D">
      <w:rPr>
        <w:rStyle w:val="PageNumber"/>
        <w:rFonts w:ascii="Microsoft Sans Serif" w:hAnsi="Microsoft Sans Serif" w:cs="Microsoft Sans Serif"/>
        <w:sz w:val="16"/>
      </w:rPr>
      <w:fldChar w:fldCharType="end"/>
    </w:r>
  </w:p>
  <w:p w14:paraId="5E5C8D74" w14:textId="77777777" w:rsidR="00A824DF" w:rsidRDefault="00D32048" w:rsidP="00897662">
    <w:pPr>
      <w:pStyle w:val="Header"/>
    </w:pPr>
  </w:p>
  <w:p w14:paraId="1FAB71AF" w14:textId="77777777" w:rsidR="00A824DF" w:rsidRDefault="00D3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6B2B"/>
    <w:multiLevelType w:val="hybridMultilevel"/>
    <w:tmpl w:val="231A0AB0"/>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Symbol"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Symbol"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17985864"/>
    <w:multiLevelType w:val="hybridMultilevel"/>
    <w:tmpl w:val="9A7E5256"/>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EB81E2E"/>
    <w:multiLevelType w:val="hybridMultilevel"/>
    <w:tmpl w:val="2F2A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5AB"/>
    <w:multiLevelType w:val="hybridMultilevel"/>
    <w:tmpl w:val="2D0A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55FE"/>
    <w:multiLevelType w:val="hybridMultilevel"/>
    <w:tmpl w:val="6204A90C"/>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3DB63E34"/>
    <w:multiLevelType w:val="hybridMultilevel"/>
    <w:tmpl w:val="0CB0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15C7A"/>
    <w:multiLevelType w:val="hybridMultilevel"/>
    <w:tmpl w:val="BC40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500C7"/>
    <w:multiLevelType w:val="hybridMultilevel"/>
    <w:tmpl w:val="066A884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D30E27"/>
    <w:multiLevelType w:val="hybridMultilevel"/>
    <w:tmpl w:val="A2D8D0C2"/>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33A5787"/>
    <w:multiLevelType w:val="hybridMultilevel"/>
    <w:tmpl w:val="4790C5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A0135B"/>
    <w:multiLevelType w:val="hybridMultilevel"/>
    <w:tmpl w:val="7736C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2A5435"/>
    <w:multiLevelType w:val="hybridMultilevel"/>
    <w:tmpl w:val="793C53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2254C"/>
    <w:multiLevelType w:val="hybridMultilevel"/>
    <w:tmpl w:val="60D8D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144B69"/>
    <w:multiLevelType w:val="hybridMultilevel"/>
    <w:tmpl w:val="75F6C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94443A"/>
    <w:multiLevelType w:val="hybridMultilevel"/>
    <w:tmpl w:val="65B0A800"/>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D2F63"/>
    <w:multiLevelType w:val="hybridMultilevel"/>
    <w:tmpl w:val="4E06AECC"/>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A0E2DD8"/>
    <w:multiLevelType w:val="hybridMultilevel"/>
    <w:tmpl w:val="29167B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A8F237A"/>
    <w:multiLevelType w:val="hybridMultilevel"/>
    <w:tmpl w:val="4BE8842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Symbol"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Symbol"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7FD317D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2"/>
  </w:num>
  <w:num w:numId="2">
    <w:abstractNumId w:val="1"/>
  </w:num>
  <w:num w:numId="3">
    <w:abstractNumId w:val="11"/>
  </w:num>
  <w:num w:numId="4">
    <w:abstractNumId w:val="14"/>
  </w:num>
  <w:num w:numId="5">
    <w:abstractNumId w:val="8"/>
  </w:num>
  <w:num w:numId="6">
    <w:abstractNumId w:val="18"/>
  </w:num>
  <w:num w:numId="7">
    <w:abstractNumId w:val="2"/>
  </w:num>
  <w:num w:numId="8">
    <w:abstractNumId w:val="13"/>
  </w:num>
  <w:num w:numId="9">
    <w:abstractNumId w:val="5"/>
  </w:num>
  <w:num w:numId="10">
    <w:abstractNumId w:val="10"/>
  </w:num>
  <w:num w:numId="11">
    <w:abstractNumId w:val="4"/>
  </w:num>
  <w:num w:numId="12">
    <w:abstractNumId w:val="7"/>
  </w:num>
  <w:num w:numId="13">
    <w:abstractNumId w:val="6"/>
  </w:num>
  <w:num w:numId="14">
    <w:abstractNumId w:val="3"/>
  </w:num>
  <w:num w:numId="15">
    <w:abstractNumId w:val="0"/>
  </w:num>
  <w:num w:numId="16">
    <w:abstractNumId w:val="17"/>
  </w:num>
  <w:num w:numId="17">
    <w:abstractNumId w:val="15"/>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E3"/>
    <w:rsid w:val="001C7ACA"/>
    <w:rsid w:val="002A1009"/>
    <w:rsid w:val="003A55F5"/>
    <w:rsid w:val="004112F8"/>
    <w:rsid w:val="004427C5"/>
    <w:rsid w:val="00463DE1"/>
    <w:rsid w:val="006304DF"/>
    <w:rsid w:val="007363AA"/>
    <w:rsid w:val="007D4A20"/>
    <w:rsid w:val="00B050DC"/>
    <w:rsid w:val="00B63FE3"/>
    <w:rsid w:val="00CA0675"/>
    <w:rsid w:val="00D32048"/>
    <w:rsid w:val="00F022DF"/>
    <w:rsid w:val="00F9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2529"/>
    <o:shapelayout v:ext="edit">
      <o:idmap v:ext="edit" data="1"/>
    </o:shapelayout>
  </w:shapeDefaults>
  <w:decimalSymbol w:val="."/>
  <w:listSeparator w:val=","/>
  <w14:docId w14:val="6C02B8A3"/>
  <w15:chartTrackingRefBased/>
  <w15:docId w15:val="{2DC3ECDC-819F-4D9E-B713-FDA033A1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FE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63FE3"/>
    <w:pPr>
      <w:keepNext/>
      <w:spacing w:before="120" w:after="120"/>
      <w:ind w:left="1080"/>
      <w:outlineLvl w:val="2"/>
    </w:pPr>
    <w:rPr>
      <w:sz w:val="24"/>
      <w:u w:val="single"/>
    </w:rPr>
  </w:style>
  <w:style w:type="paragraph" w:styleId="Heading5">
    <w:name w:val="heading 5"/>
    <w:basedOn w:val="Normal"/>
    <w:next w:val="Normal"/>
    <w:link w:val="Heading5Char"/>
    <w:qFormat/>
    <w:rsid w:val="00B63FE3"/>
    <w:pPr>
      <w:spacing w:before="240" w:after="60"/>
      <w:outlineLvl w:val="4"/>
    </w:pPr>
    <w:rPr>
      <w:b/>
      <w:bCs/>
      <w:i/>
      <w:iCs/>
      <w:sz w:val="26"/>
      <w:szCs w:val="26"/>
    </w:rPr>
  </w:style>
  <w:style w:type="paragraph" w:styleId="Heading6">
    <w:name w:val="heading 6"/>
    <w:basedOn w:val="Normal"/>
    <w:next w:val="Normal"/>
    <w:link w:val="Heading6Char"/>
    <w:qFormat/>
    <w:rsid w:val="00B63FE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3FE3"/>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B63FE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63FE3"/>
    <w:rPr>
      <w:rFonts w:ascii="Times New Roman" w:eastAsia="Times New Roman" w:hAnsi="Times New Roman" w:cs="Times New Roman"/>
      <w:b/>
      <w:bCs/>
    </w:rPr>
  </w:style>
  <w:style w:type="paragraph" w:styleId="Header">
    <w:name w:val="header"/>
    <w:basedOn w:val="Normal"/>
    <w:link w:val="HeaderChar"/>
    <w:rsid w:val="00B63FE3"/>
    <w:pPr>
      <w:tabs>
        <w:tab w:val="center" w:pos="4320"/>
        <w:tab w:val="right" w:pos="8640"/>
      </w:tabs>
    </w:pPr>
  </w:style>
  <w:style w:type="character" w:customStyle="1" w:styleId="HeaderChar">
    <w:name w:val="Header Char"/>
    <w:basedOn w:val="DefaultParagraphFont"/>
    <w:link w:val="Header"/>
    <w:rsid w:val="00B63FE3"/>
    <w:rPr>
      <w:rFonts w:ascii="Times New Roman" w:eastAsia="Times New Roman" w:hAnsi="Times New Roman" w:cs="Times New Roman"/>
      <w:sz w:val="20"/>
      <w:szCs w:val="20"/>
    </w:rPr>
  </w:style>
  <w:style w:type="character" w:styleId="PageNumber">
    <w:name w:val="page number"/>
    <w:basedOn w:val="DefaultParagraphFont"/>
    <w:rsid w:val="00B63FE3"/>
  </w:style>
  <w:style w:type="paragraph" w:customStyle="1" w:styleId="Blockquote">
    <w:name w:val="Blockquote"/>
    <w:basedOn w:val="Normal"/>
    <w:rsid w:val="00B63FE3"/>
    <w:pPr>
      <w:widowControl w:val="0"/>
      <w:spacing w:before="100" w:after="100"/>
      <w:ind w:left="360" w:right="360"/>
    </w:pPr>
    <w:rPr>
      <w:snapToGrid w:val="0"/>
      <w:sz w:val="24"/>
    </w:rPr>
  </w:style>
  <w:style w:type="paragraph" w:styleId="ListParagraph">
    <w:name w:val="List Paragraph"/>
    <w:basedOn w:val="Normal"/>
    <w:uiPriority w:val="34"/>
    <w:qFormat/>
    <w:rsid w:val="00B63FE3"/>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B63FE3"/>
    <w:pPr>
      <w:widowControl w:val="0"/>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63FE3"/>
    <w:pPr>
      <w:tabs>
        <w:tab w:val="center" w:pos="4680"/>
        <w:tab w:val="right" w:pos="9360"/>
      </w:tabs>
    </w:pPr>
  </w:style>
  <w:style w:type="character" w:customStyle="1" w:styleId="FooterChar">
    <w:name w:val="Footer Char"/>
    <w:basedOn w:val="DefaultParagraphFont"/>
    <w:link w:val="Footer"/>
    <w:uiPriority w:val="99"/>
    <w:rsid w:val="00B63F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Vanneman, Jill</dc:creator>
  <cp:keywords/>
  <dc:description/>
  <cp:lastModifiedBy>Vanneman, Jill</cp:lastModifiedBy>
  <cp:revision>2</cp:revision>
  <dcterms:created xsi:type="dcterms:W3CDTF">2018-08-06T22:57:00Z</dcterms:created>
  <dcterms:modified xsi:type="dcterms:W3CDTF">2018-08-06T22:57:00Z</dcterms:modified>
</cp:coreProperties>
</file>