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ED5E" w14:textId="139E52D2" w:rsidR="00396B6E" w:rsidRPr="000E57E1" w:rsidRDefault="00396B6E" w:rsidP="000E57E1">
      <w:pPr>
        <w:jc w:val="center"/>
        <w:rPr>
          <w:bCs/>
          <w:sz w:val="52"/>
          <w:szCs w:val="52"/>
        </w:rPr>
      </w:pPr>
      <w:r w:rsidRPr="000E57E1">
        <w:rPr>
          <w:b/>
          <w:bCs/>
          <w:color w:val="4F81BD" w:themeColor="accent1"/>
          <w:sz w:val="52"/>
          <w:szCs w:val="52"/>
        </w:rPr>
        <w:t>Notice to Tenants</w:t>
      </w:r>
      <w:r w:rsidR="000E57E1" w:rsidRPr="000E57E1">
        <w:rPr>
          <w:b/>
          <w:bCs/>
          <w:color w:val="4F81BD" w:themeColor="accent1"/>
          <w:sz w:val="52"/>
          <w:szCs w:val="52"/>
        </w:rPr>
        <w:t xml:space="preserve"> </w:t>
      </w:r>
      <w:r w:rsidRPr="000E57E1">
        <w:rPr>
          <w:b/>
          <w:bCs/>
          <w:color w:val="4F81BD" w:themeColor="accent1"/>
          <w:sz w:val="52"/>
          <w:szCs w:val="52"/>
        </w:rPr>
        <w:t>of Intent to Sell</w:t>
      </w:r>
      <w:r w:rsidR="002B204B" w:rsidRPr="000E57E1">
        <w:rPr>
          <w:b/>
          <w:bCs/>
          <w:color w:val="4F81BD" w:themeColor="accent1"/>
          <w:sz w:val="52"/>
          <w:szCs w:val="52"/>
        </w:rPr>
        <w:t xml:space="preserve"> Building</w:t>
      </w:r>
    </w:p>
    <w:p w14:paraId="37F6E724" w14:textId="77777777" w:rsidR="00540814" w:rsidRDefault="00540814" w:rsidP="00396B6E">
      <w:pPr>
        <w:pStyle w:val="Header"/>
        <w:rPr>
          <w:b/>
          <w:bCs/>
          <w:color w:val="4F81BD" w:themeColor="accent1"/>
          <w:sz w:val="32"/>
          <w:szCs w:val="32"/>
        </w:rPr>
      </w:pPr>
    </w:p>
    <w:p w14:paraId="25D51534" w14:textId="1DEEA5D1" w:rsidR="00396B6E" w:rsidRDefault="00396B6E" w:rsidP="00396B6E">
      <w:pPr>
        <w:pStyle w:val="Header"/>
        <w:rPr>
          <w:b/>
          <w:bCs/>
          <w:color w:val="4F81BD" w:themeColor="accent1"/>
          <w:sz w:val="32"/>
          <w:szCs w:val="32"/>
        </w:rPr>
      </w:pPr>
      <w:r w:rsidRPr="00540814">
        <w:rPr>
          <w:b/>
          <w:bCs/>
          <w:color w:val="4F81BD" w:themeColor="accent1"/>
          <w:sz w:val="32"/>
          <w:szCs w:val="32"/>
        </w:rPr>
        <w:t>Building Address</w:t>
      </w:r>
    </w:p>
    <w:p w14:paraId="675C13FF" w14:textId="77777777" w:rsidR="00D577EC" w:rsidRPr="00540814" w:rsidRDefault="00D577EC" w:rsidP="00396B6E">
      <w:pPr>
        <w:pStyle w:val="Header"/>
        <w:rPr>
          <w:b/>
          <w:bCs/>
          <w:color w:val="4F81BD" w:themeColor="accent1"/>
          <w:sz w:val="32"/>
          <w:szCs w:val="32"/>
        </w:rPr>
      </w:pPr>
    </w:p>
    <w:p w14:paraId="3111B8B3" w14:textId="3A0CCE0C" w:rsidR="00396B6E" w:rsidRDefault="00396B6E" w:rsidP="00396B6E">
      <w:pPr>
        <w:pStyle w:val="Header"/>
        <w:rPr>
          <w:color w:val="4F81BD" w:themeColor="accent1"/>
          <w:sz w:val="24"/>
          <w:szCs w:val="24"/>
        </w:rPr>
      </w:pPr>
      <w:r w:rsidRPr="00120FEB">
        <w:rPr>
          <w:color w:val="4F81BD" w:themeColor="accent1"/>
          <w:sz w:val="24"/>
          <w:szCs w:val="24"/>
        </w:rPr>
        <w:t>________________</w:t>
      </w:r>
      <w:r>
        <w:rPr>
          <w:color w:val="4F81BD" w:themeColor="accent1"/>
          <w:sz w:val="24"/>
          <w:szCs w:val="24"/>
        </w:rPr>
        <w:t>_____</w:t>
      </w:r>
      <w:r w:rsidR="00D577EC">
        <w:rPr>
          <w:color w:val="4F81BD" w:themeColor="accent1"/>
          <w:sz w:val="24"/>
          <w:szCs w:val="24"/>
        </w:rPr>
        <w:t>________</w:t>
      </w:r>
      <w:r w:rsidRPr="00120FEB">
        <w:rPr>
          <w:color w:val="4F81BD" w:themeColor="accent1"/>
          <w:sz w:val="24"/>
          <w:szCs w:val="24"/>
        </w:rPr>
        <w:t>____</w:t>
      </w:r>
    </w:p>
    <w:p w14:paraId="322D41D5" w14:textId="77777777" w:rsidR="00396B6E" w:rsidRDefault="00396B6E" w:rsidP="00396B6E">
      <w:pPr>
        <w:pStyle w:val="Header"/>
        <w:rPr>
          <w:color w:val="4F81BD" w:themeColor="accent1"/>
          <w:sz w:val="24"/>
          <w:szCs w:val="24"/>
        </w:rPr>
      </w:pPr>
    </w:p>
    <w:p w14:paraId="4841ACFA" w14:textId="6A9980CA" w:rsidR="00396B6E" w:rsidRDefault="00396B6E" w:rsidP="00396B6E">
      <w:pPr>
        <w:pStyle w:val="Header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________________________</w:t>
      </w:r>
      <w:r w:rsidR="00D577EC">
        <w:rPr>
          <w:color w:val="4F81BD" w:themeColor="accent1"/>
          <w:sz w:val="24"/>
          <w:szCs w:val="24"/>
        </w:rPr>
        <w:t>________</w:t>
      </w:r>
      <w:r>
        <w:rPr>
          <w:color w:val="4F81BD" w:themeColor="accent1"/>
          <w:sz w:val="24"/>
          <w:szCs w:val="24"/>
        </w:rPr>
        <w:t>_</w:t>
      </w:r>
    </w:p>
    <w:p w14:paraId="05D9783B" w14:textId="2B155540" w:rsidR="00396B6E" w:rsidRDefault="00396B6E" w:rsidP="00396B6E">
      <w:pPr>
        <w:pStyle w:val="Header"/>
        <w:rPr>
          <w:color w:val="4F81BD" w:themeColor="accent1"/>
          <w:sz w:val="24"/>
          <w:szCs w:val="24"/>
        </w:rPr>
      </w:pPr>
    </w:p>
    <w:p w14:paraId="6C74407A" w14:textId="403DD8B7" w:rsidR="002B204B" w:rsidRPr="00D577EC" w:rsidRDefault="00C122AF" w:rsidP="00396B6E">
      <w:pPr>
        <w:pStyle w:val="Header"/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 xml:space="preserve">This is a notice to inform the tenants of this building that the owner may sell the building. </w:t>
      </w:r>
      <w:r w:rsidR="002B204B" w:rsidRPr="00D577EC">
        <w:rPr>
          <w:color w:val="auto"/>
          <w:sz w:val="28"/>
          <w:szCs w:val="28"/>
        </w:rPr>
        <w:t>When the owner of certain residential rental buildings intend</w:t>
      </w:r>
      <w:r w:rsidR="000F2C02">
        <w:rPr>
          <w:color w:val="auto"/>
          <w:sz w:val="28"/>
          <w:szCs w:val="28"/>
        </w:rPr>
        <w:t>s</w:t>
      </w:r>
      <w:r w:rsidR="002B204B" w:rsidRPr="00D577EC">
        <w:rPr>
          <w:color w:val="auto"/>
          <w:sz w:val="28"/>
          <w:szCs w:val="28"/>
        </w:rPr>
        <w:t xml:space="preserve"> to sell the building, </w:t>
      </w:r>
      <w:r w:rsidR="00B720BB" w:rsidRPr="00D577EC">
        <w:rPr>
          <w:color w:val="auto"/>
          <w:sz w:val="28"/>
          <w:szCs w:val="28"/>
        </w:rPr>
        <w:t xml:space="preserve">Seattle Municipal Code </w:t>
      </w:r>
      <w:r w:rsidR="000F2C02">
        <w:rPr>
          <w:color w:val="auto"/>
          <w:sz w:val="28"/>
          <w:szCs w:val="28"/>
        </w:rPr>
        <w:t xml:space="preserve">(SMC) </w:t>
      </w:r>
      <w:r w:rsidR="00B720BB" w:rsidRPr="00D577EC">
        <w:rPr>
          <w:color w:val="auto"/>
          <w:sz w:val="28"/>
          <w:szCs w:val="28"/>
        </w:rPr>
        <w:t xml:space="preserve">22.907.030 </w:t>
      </w:r>
      <w:r w:rsidR="002B204B" w:rsidRPr="00D577EC">
        <w:rPr>
          <w:color w:val="auto"/>
          <w:sz w:val="28"/>
          <w:szCs w:val="28"/>
        </w:rPr>
        <w:t xml:space="preserve">requires the owner to </w:t>
      </w:r>
      <w:r w:rsidR="00B720BB" w:rsidRPr="00D577EC">
        <w:rPr>
          <w:color w:val="auto"/>
          <w:sz w:val="28"/>
          <w:szCs w:val="28"/>
        </w:rPr>
        <w:t>post a notice in the building notifying</w:t>
      </w:r>
      <w:r w:rsidR="002B204B" w:rsidRPr="00D577EC">
        <w:rPr>
          <w:color w:val="auto"/>
          <w:sz w:val="28"/>
          <w:szCs w:val="28"/>
        </w:rPr>
        <w:t xml:space="preserve"> tenants of the owner’s inten</w:t>
      </w:r>
      <w:r w:rsidR="000F2C02">
        <w:rPr>
          <w:color w:val="auto"/>
          <w:sz w:val="28"/>
          <w:szCs w:val="28"/>
        </w:rPr>
        <w:t>t</w:t>
      </w:r>
      <w:r w:rsidR="002B204B" w:rsidRPr="00D577EC">
        <w:rPr>
          <w:color w:val="auto"/>
          <w:sz w:val="28"/>
          <w:szCs w:val="28"/>
        </w:rPr>
        <w:t xml:space="preserve">.  This notice is that notice. </w:t>
      </w:r>
      <w:r w:rsidR="00383BD4" w:rsidRPr="00D577EC">
        <w:rPr>
          <w:color w:val="auto"/>
          <w:sz w:val="28"/>
          <w:szCs w:val="28"/>
        </w:rPr>
        <w:t xml:space="preserve">The purpose of this notice is to give tenants </w:t>
      </w:r>
      <w:r w:rsidR="000F2C02">
        <w:rPr>
          <w:color w:val="auto"/>
          <w:sz w:val="28"/>
          <w:szCs w:val="28"/>
        </w:rPr>
        <w:t>time to</w:t>
      </w:r>
      <w:r w:rsidR="00383BD4" w:rsidRPr="00D577EC">
        <w:rPr>
          <w:color w:val="auto"/>
          <w:sz w:val="28"/>
          <w:szCs w:val="28"/>
        </w:rPr>
        <w:t xml:space="preserve"> </w:t>
      </w:r>
      <w:r w:rsidR="000F2C02">
        <w:rPr>
          <w:color w:val="auto"/>
          <w:sz w:val="28"/>
          <w:szCs w:val="28"/>
        </w:rPr>
        <w:t xml:space="preserve">prepare and to offer an </w:t>
      </w:r>
      <w:r w:rsidR="00383BD4" w:rsidRPr="00D577EC">
        <w:rPr>
          <w:color w:val="auto"/>
          <w:sz w:val="28"/>
          <w:szCs w:val="28"/>
        </w:rPr>
        <w:t>opp</w:t>
      </w:r>
      <w:r w:rsidR="002E107E" w:rsidRPr="00D577EC">
        <w:rPr>
          <w:color w:val="auto"/>
          <w:sz w:val="28"/>
          <w:szCs w:val="28"/>
        </w:rPr>
        <w:t>or</w:t>
      </w:r>
      <w:r w:rsidR="00383BD4" w:rsidRPr="00D577EC">
        <w:rPr>
          <w:color w:val="auto"/>
          <w:sz w:val="28"/>
          <w:szCs w:val="28"/>
        </w:rPr>
        <w:t xml:space="preserve">tunity to pursue </w:t>
      </w:r>
      <w:r w:rsidR="000F2C02">
        <w:rPr>
          <w:color w:val="auto"/>
          <w:sz w:val="28"/>
          <w:szCs w:val="28"/>
        </w:rPr>
        <w:t xml:space="preserve">a </w:t>
      </w:r>
      <w:r w:rsidR="00383BD4" w:rsidRPr="00D577EC">
        <w:rPr>
          <w:color w:val="auto"/>
          <w:sz w:val="28"/>
          <w:szCs w:val="28"/>
        </w:rPr>
        <w:t>possible purchase of the building.</w:t>
      </w:r>
    </w:p>
    <w:p w14:paraId="368DC383" w14:textId="77777777" w:rsidR="00540814" w:rsidRDefault="00540814" w:rsidP="00396B6E">
      <w:pPr>
        <w:rPr>
          <w:bCs/>
          <w:sz w:val="28"/>
          <w:szCs w:val="28"/>
        </w:rPr>
      </w:pPr>
    </w:p>
    <w:p w14:paraId="078C198B" w14:textId="14A06CE8" w:rsidR="0064520F" w:rsidRDefault="000F2C02" w:rsidP="00396B6E">
      <w:pPr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SMC</w:t>
      </w:r>
      <w:r w:rsidR="002F63C6" w:rsidRPr="00D577EC">
        <w:rPr>
          <w:color w:val="auto"/>
          <w:sz w:val="28"/>
          <w:szCs w:val="28"/>
        </w:rPr>
        <w:t xml:space="preserve"> 22.907.030 </w:t>
      </w:r>
      <w:r w:rsidR="00396B6E" w:rsidRPr="00396B6E">
        <w:rPr>
          <w:bCs/>
          <w:sz w:val="28"/>
          <w:szCs w:val="28"/>
        </w:rPr>
        <w:t xml:space="preserve">applies to </w:t>
      </w:r>
      <w:r w:rsidR="00774E13">
        <w:rPr>
          <w:bCs/>
          <w:sz w:val="28"/>
          <w:szCs w:val="28"/>
        </w:rPr>
        <w:t xml:space="preserve">rental housing </w:t>
      </w:r>
      <w:r w:rsidR="00396B6E" w:rsidRPr="00396B6E">
        <w:rPr>
          <w:bCs/>
          <w:sz w:val="28"/>
          <w:szCs w:val="28"/>
        </w:rPr>
        <w:t xml:space="preserve">buildings </w:t>
      </w:r>
      <w:r w:rsidR="00774E13">
        <w:rPr>
          <w:bCs/>
          <w:sz w:val="28"/>
          <w:szCs w:val="28"/>
        </w:rPr>
        <w:t>having two or more rental units</w:t>
      </w:r>
      <w:r>
        <w:rPr>
          <w:bCs/>
          <w:sz w:val="28"/>
          <w:szCs w:val="28"/>
        </w:rPr>
        <w:t xml:space="preserve"> and</w:t>
      </w:r>
      <w:r w:rsidR="00774E13">
        <w:rPr>
          <w:bCs/>
          <w:sz w:val="28"/>
          <w:szCs w:val="28"/>
        </w:rPr>
        <w:t xml:space="preserve"> if one or more of the units</w:t>
      </w:r>
      <w:r>
        <w:rPr>
          <w:bCs/>
          <w:sz w:val="28"/>
          <w:szCs w:val="28"/>
        </w:rPr>
        <w:t xml:space="preserve"> is</w:t>
      </w:r>
      <w:r w:rsidR="00774E13">
        <w:rPr>
          <w:bCs/>
          <w:sz w:val="28"/>
          <w:szCs w:val="28"/>
        </w:rPr>
        <w:t xml:space="preserve"> rent</w:t>
      </w:r>
      <w:r>
        <w:rPr>
          <w:bCs/>
          <w:sz w:val="28"/>
          <w:szCs w:val="28"/>
        </w:rPr>
        <w:t>ed</w:t>
      </w:r>
      <w:r w:rsidR="00774E13">
        <w:rPr>
          <w:bCs/>
          <w:sz w:val="28"/>
          <w:szCs w:val="28"/>
        </w:rPr>
        <w:t xml:space="preserve"> </w:t>
      </w:r>
      <w:r w:rsidR="00396B6E" w:rsidRPr="00396B6E">
        <w:rPr>
          <w:bCs/>
          <w:sz w:val="28"/>
          <w:szCs w:val="28"/>
        </w:rPr>
        <w:t xml:space="preserve">at </w:t>
      </w:r>
      <w:r w:rsidR="006A72B5">
        <w:rPr>
          <w:bCs/>
          <w:sz w:val="28"/>
          <w:szCs w:val="28"/>
        </w:rPr>
        <w:t xml:space="preserve">an amount that is at </w:t>
      </w:r>
      <w:r w:rsidR="00396B6E" w:rsidRPr="00396B6E">
        <w:rPr>
          <w:bCs/>
          <w:sz w:val="28"/>
          <w:szCs w:val="28"/>
        </w:rPr>
        <w:t xml:space="preserve">or below 80% of </w:t>
      </w:r>
      <w:r w:rsidR="006A72B5">
        <w:rPr>
          <w:bCs/>
          <w:sz w:val="28"/>
          <w:szCs w:val="28"/>
        </w:rPr>
        <w:t xml:space="preserve">the </w:t>
      </w:r>
      <w:r w:rsidR="00396B6E" w:rsidRPr="00396B6E">
        <w:rPr>
          <w:bCs/>
          <w:sz w:val="28"/>
          <w:szCs w:val="28"/>
        </w:rPr>
        <w:t>A</w:t>
      </w:r>
      <w:r w:rsidR="00774E13">
        <w:rPr>
          <w:bCs/>
          <w:sz w:val="28"/>
          <w:szCs w:val="28"/>
        </w:rPr>
        <w:t xml:space="preserve">rea </w:t>
      </w:r>
      <w:r w:rsidR="00396B6E" w:rsidRPr="00396B6E">
        <w:rPr>
          <w:bCs/>
          <w:sz w:val="28"/>
          <w:szCs w:val="28"/>
        </w:rPr>
        <w:t>M</w:t>
      </w:r>
      <w:r w:rsidR="00774E13">
        <w:rPr>
          <w:bCs/>
          <w:sz w:val="28"/>
          <w:szCs w:val="28"/>
        </w:rPr>
        <w:t xml:space="preserve">edian </w:t>
      </w:r>
      <w:r w:rsidR="00396B6E" w:rsidRPr="00396B6E">
        <w:rPr>
          <w:bCs/>
          <w:sz w:val="28"/>
          <w:szCs w:val="28"/>
        </w:rPr>
        <w:t>I</w:t>
      </w:r>
      <w:r w:rsidR="00774E13">
        <w:rPr>
          <w:bCs/>
          <w:sz w:val="28"/>
          <w:szCs w:val="28"/>
        </w:rPr>
        <w:t>ncome</w:t>
      </w:r>
      <w:r w:rsidR="00396B6E" w:rsidRPr="00396B6E">
        <w:rPr>
          <w:bCs/>
          <w:sz w:val="28"/>
          <w:szCs w:val="28"/>
        </w:rPr>
        <w:t xml:space="preserve">. Please refer to </w:t>
      </w:r>
      <w:r w:rsidR="006A72B5">
        <w:rPr>
          <w:bCs/>
          <w:sz w:val="28"/>
          <w:szCs w:val="28"/>
        </w:rPr>
        <w:t xml:space="preserve">the </w:t>
      </w:r>
      <w:r w:rsidR="00396B6E" w:rsidRPr="00396B6E">
        <w:rPr>
          <w:bCs/>
          <w:sz w:val="28"/>
          <w:szCs w:val="28"/>
        </w:rPr>
        <w:t xml:space="preserve"> website </w:t>
      </w:r>
      <w:r w:rsidR="006A72B5">
        <w:rPr>
          <w:bCs/>
          <w:sz w:val="28"/>
          <w:szCs w:val="28"/>
        </w:rPr>
        <w:t xml:space="preserve">of the Seattle Office of Housing </w:t>
      </w:r>
      <w:r w:rsidR="00953895">
        <w:rPr>
          <w:bCs/>
          <w:sz w:val="28"/>
          <w:szCs w:val="28"/>
        </w:rPr>
        <w:t xml:space="preserve">(OH) </w:t>
      </w:r>
      <w:r w:rsidR="00396B6E" w:rsidRPr="00396B6E">
        <w:rPr>
          <w:bCs/>
          <w:sz w:val="28"/>
          <w:szCs w:val="28"/>
        </w:rPr>
        <w:t xml:space="preserve">for </w:t>
      </w:r>
      <w:r w:rsidR="006A72B5">
        <w:rPr>
          <w:bCs/>
          <w:sz w:val="28"/>
          <w:szCs w:val="28"/>
        </w:rPr>
        <w:t xml:space="preserve">the applicable </w:t>
      </w:r>
      <w:r w:rsidR="00396B6E" w:rsidRPr="00396B6E">
        <w:rPr>
          <w:bCs/>
          <w:sz w:val="28"/>
          <w:szCs w:val="28"/>
        </w:rPr>
        <w:t>rent schedule</w:t>
      </w:r>
      <w:r>
        <w:rPr>
          <w:bCs/>
          <w:sz w:val="28"/>
          <w:szCs w:val="28"/>
        </w:rPr>
        <w:t>:</w:t>
      </w:r>
      <w:r w:rsidR="0064520F">
        <w:rPr>
          <w:bCs/>
          <w:sz w:val="28"/>
          <w:szCs w:val="28"/>
        </w:rPr>
        <w:t xml:space="preserve"> </w:t>
      </w:r>
      <w:hyperlink r:id="rId10" w:history="1">
        <w:r w:rsidRPr="00D731AE">
          <w:rPr>
            <w:rStyle w:val="Hyperlink"/>
            <w:bCs/>
            <w:sz w:val="28"/>
            <w:szCs w:val="28"/>
          </w:rPr>
          <w:t>https://www.seattle.gov/housing/intent-to-sell</w:t>
        </w:r>
      </w:hyperlink>
    </w:p>
    <w:p w14:paraId="254A4018" w14:textId="178F696E" w:rsidR="00396B6E" w:rsidRPr="00D577EC" w:rsidRDefault="00335240" w:rsidP="00396B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In addition to notifying building tenants, the owner is </w:t>
      </w:r>
      <w:r w:rsidR="00396B6E" w:rsidRPr="00396B6E">
        <w:rPr>
          <w:bCs/>
          <w:sz w:val="28"/>
          <w:szCs w:val="28"/>
        </w:rPr>
        <w:t xml:space="preserve">required to notify OH </w:t>
      </w:r>
      <w:r w:rsidR="006A72B5">
        <w:rPr>
          <w:bCs/>
          <w:sz w:val="28"/>
          <w:szCs w:val="28"/>
        </w:rPr>
        <w:t xml:space="preserve">and </w:t>
      </w:r>
      <w:r w:rsidR="00396B6E" w:rsidRPr="00396B6E">
        <w:rPr>
          <w:bCs/>
          <w:sz w:val="28"/>
          <w:szCs w:val="28"/>
        </w:rPr>
        <w:t>the Seattle Housing Authority (SHA) of the</w:t>
      </w:r>
      <w:r w:rsidR="006A72B5">
        <w:rPr>
          <w:bCs/>
          <w:sz w:val="28"/>
          <w:szCs w:val="28"/>
        </w:rPr>
        <w:t xml:space="preserve"> owner’s</w:t>
      </w:r>
      <w:r w:rsidR="00396B6E" w:rsidRPr="00396B6E">
        <w:rPr>
          <w:bCs/>
          <w:sz w:val="28"/>
          <w:szCs w:val="28"/>
        </w:rPr>
        <w:t xml:space="preserve"> intention to sell the building. </w:t>
      </w:r>
    </w:p>
    <w:p w14:paraId="4268A388" w14:textId="77777777" w:rsidR="00540814" w:rsidRPr="00396B6E" w:rsidRDefault="00540814" w:rsidP="00396B6E">
      <w:pPr>
        <w:rPr>
          <w:bCs/>
          <w:sz w:val="28"/>
          <w:szCs w:val="28"/>
        </w:rPr>
      </w:pPr>
      <w:bookmarkStart w:id="0" w:name="_GoBack"/>
      <w:bookmarkEnd w:id="0"/>
    </w:p>
    <w:p w14:paraId="43EE2F97" w14:textId="7A3F235F" w:rsidR="002E107E" w:rsidRPr="00D577EC" w:rsidRDefault="00396B6E" w:rsidP="00396B6E">
      <w:pPr>
        <w:rPr>
          <w:b/>
          <w:color w:val="auto"/>
          <w:sz w:val="32"/>
          <w:szCs w:val="32"/>
        </w:rPr>
      </w:pPr>
      <w:r w:rsidRPr="00D577EC">
        <w:rPr>
          <w:b/>
          <w:color w:val="auto"/>
          <w:sz w:val="32"/>
          <w:szCs w:val="32"/>
        </w:rPr>
        <w:t>What does this notice mean for the tenants?</w:t>
      </w:r>
    </w:p>
    <w:p w14:paraId="3277F133" w14:textId="33479139" w:rsidR="006F77EE" w:rsidRDefault="002E107E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 xml:space="preserve">After the owner has submitted and posted </w:t>
      </w:r>
      <w:r w:rsidR="006F77EE">
        <w:rPr>
          <w:bCs/>
          <w:color w:val="auto"/>
          <w:sz w:val="28"/>
          <w:szCs w:val="28"/>
        </w:rPr>
        <w:t xml:space="preserve">the </w:t>
      </w:r>
      <w:r w:rsidRPr="00D577EC">
        <w:rPr>
          <w:bCs/>
          <w:color w:val="auto"/>
          <w:sz w:val="28"/>
          <w:szCs w:val="28"/>
        </w:rPr>
        <w:t xml:space="preserve">notice of the owner’s intent to sell the building, tenants have </w:t>
      </w:r>
      <w:r w:rsidR="008C5B80" w:rsidRPr="00D577EC">
        <w:rPr>
          <w:bCs/>
          <w:color w:val="auto"/>
          <w:sz w:val="28"/>
          <w:szCs w:val="28"/>
        </w:rPr>
        <w:t>30 days (for buildings having 5 or more rental units)</w:t>
      </w:r>
      <w:r w:rsidRPr="00D577EC">
        <w:rPr>
          <w:bCs/>
          <w:color w:val="auto"/>
          <w:sz w:val="28"/>
          <w:szCs w:val="28"/>
        </w:rPr>
        <w:t xml:space="preserve"> </w:t>
      </w:r>
      <w:r w:rsidR="00953895" w:rsidRPr="00D577EC">
        <w:rPr>
          <w:bCs/>
          <w:color w:val="auto"/>
          <w:sz w:val="28"/>
          <w:szCs w:val="28"/>
        </w:rPr>
        <w:t>to notify the owner and OH of the tenant’s interest in purchasing the building.  If the owner does not receive a notice of interest from tenants, OH, SHA or a qualified non-profit housing developer within the applicable period, the owner may then list or advertise the building for sale, offer the building for sale, or sell the building.</w:t>
      </w:r>
    </w:p>
    <w:p w14:paraId="778AF021" w14:textId="77777777" w:rsidR="006F77EE" w:rsidRDefault="006F77EE" w:rsidP="00396B6E">
      <w:pPr>
        <w:rPr>
          <w:bCs/>
          <w:color w:val="auto"/>
          <w:sz w:val="28"/>
          <w:szCs w:val="28"/>
        </w:rPr>
      </w:pPr>
    </w:p>
    <w:p w14:paraId="2F6C9FE7" w14:textId="3F1C0A6E" w:rsidR="007712D2" w:rsidRPr="00D577EC" w:rsidRDefault="007712D2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>Tenants having an interest in possibly purchasing the building shall submit notice of that interest to OH at either of the following locations:</w:t>
      </w:r>
    </w:p>
    <w:p w14:paraId="128186EC" w14:textId="26593E87" w:rsidR="007712D2" w:rsidRPr="00D577EC" w:rsidRDefault="007712D2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>Via email:</w:t>
      </w:r>
      <w:r w:rsidR="00C122AF" w:rsidRPr="00D577EC">
        <w:rPr>
          <w:bCs/>
          <w:color w:val="auto"/>
          <w:sz w:val="28"/>
          <w:szCs w:val="28"/>
        </w:rPr>
        <w:t xml:space="preserve"> </w:t>
      </w:r>
      <w:hyperlink r:id="rId11" w:history="1">
        <w:r w:rsidR="00C122AF" w:rsidRPr="002F63C6">
          <w:rPr>
            <w:rStyle w:val="Hyperlink"/>
            <w:bCs/>
            <w:sz w:val="28"/>
            <w:szCs w:val="28"/>
          </w:rPr>
          <w:t>IntentToSell@seattle.gov</w:t>
        </w:r>
      </w:hyperlink>
    </w:p>
    <w:p w14:paraId="3E191EA7" w14:textId="1390104F" w:rsidR="007712D2" w:rsidRPr="00D577EC" w:rsidRDefault="007712D2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>Via paper notification:</w:t>
      </w:r>
      <w:r w:rsidR="00C122AF" w:rsidRPr="00D577EC">
        <w:rPr>
          <w:bCs/>
          <w:color w:val="auto"/>
          <w:sz w:val="28"/>
          <w:szCs w:val="28"/>
        </w:rPr>
        <w:t xml:space="preserve"> Office of Housing P.O. Box 94725 Seattle, WA 94725-4752</w:t>
      </w:r>
    </w:p>
    <w:p w14:paraId="4DC68310" w14:textId="539EDC0C" w:rsidR="00433177" w:rsidRPr="00D577EC" w:rsidRDefault="00433177" w:rsidP="00396B6E">
      <w:pPr>
        <w:rPr>
          <w:bCs/>
          <w:color w:val="auto"/>
          <w:sz w:val="28"/>
          <w:szCs w:val="28"/>
        </w:rPr>
      </w:pPr>
    </w:p>
    <w:p w14:paraId="2C898DD8" w14:textId="79101D40" w:rsidR="00396B6E" w:rsidRPr="00D577EC" w:rsidRDefault="00433177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>Tenants must also provide notice of their interest to the building owner within the applicable period</w:t>
      </w:r>
      <w:r w:rsidR="00D577EC" w:rsidRPr="00D577EC">
        <w:rPr>
          <w:bCs/>
          <w:color w:val="auto"/>
          <w:sz w:val="28"/>
          <w:szCs w:val="28"/>
        </w:rPr>
        <w:t xml:space="preserve"> stated above</w:t>
      </w:r>
      <w:r w:rsidRPr="00D577EC">
        <w:rPr>
          <w:bCs/>
          <w:color w:val="auto"/>
          <w:sz w:val="28"/>
          <w:szCs w:val="28"/>
        </w:rPr>
        <w:t>.</w:t>
      </w:r>
    </w:p>
    <w:p w14:paraId="65B1B4D5" w14:textId="77777777" w:rsidR="00540814" w:rsidRPr="00D577EC" w:rsidRDefault="00540814" w:rsidP="00396B6E">
      <w:pPr>
        <w:rPr>
          <w:b/>
          <w:color w:val="auto"/>
          <w:sz w:val="28"/>
          <w:szCs w:val="28"/>
        </w:rPr>
      </w:pPr>
    </w:p>
    <w:p w14:paraId="5828ED09" w14:textId="7660227B" w:rsidR="00396B6E" w:rsidRPr="00D577EC" w:rsidRDefault="00396B6E" w:rsidP="00396B6E">
      <w:pPr>
        <w:rPr>
          <w:b/>
          <w:bCs/>
          <w:color w:val="auto"/>
          <w:sz w:val="32"/>
          <w:szCs w:val="32"/>
        </w:rPr>
      </w:pPr>
      <w:r w:rsidRPr="00D577EC">
        <w:rPr>
          <w:b/>
          <w:bCs/>
          <w:color w:val="auto"/>
          <w:sz w:val="32"/>
          <w:szCs w:val="32"/>
        </w:rPr>
        <w:t xml:space="preserve">On the </w:t>
      </w:r>
      <w:r w:rsidR="007712D2" w:rsidRPr="00D577EC">
        <w:rPr>
          <w:b/>
          <w:bCs/>
          <w:color w:val="auto"/>
          <w:sz w:val="32"/>
          <w:szCs w:val="32"/>
        </w:rPr>
        <w:t xml:space="preserve">OH </w:t>
      </w:r>
      <w:r w:rsidRPr="00D577EC">
        <w:rPr>
          <w:b/>
          <w:bCs/>
          <w:color w:val="auto"/>
          <w:sz w:val="32"/>
          <w:szCs w:val="32"/>
        </w:rPr>
        <w:t xml:space="preserve">website you can find answers to </w:t>
      </w:r>
      <w:r w:rsidR="00254CCF" w:rsidRPr="00D577EC">
        <w:rPr>
          <w:b/>
          <w:bCs/>
          <w:color w:val="auto"/>
          <w:sz w:val="32"/>
          <w:szCs w:val="32"/>
        </w:rPr>
        <w:t xml:space="preserve">many of </w:t>
      </w:r>
      <w:r w:rsidRPr="00D577EC">
        <w:rPr>
          <w:b/>
          <w:bCs/>
          <w:color w:val="auto"/>
          <w:sz w:val="32"/>
          <w:szCs w:val="32"/>
        </w:rPr>
        <w:t xml:space="preserve">your questions. </w:t>
      </w:r>
      <w:r w:rsidR="001B2C87" w:rsidRPr="00D577EC">
        <w:rPr>
          <w:b/>
          <w:bCs/>
          <w:color w:val="auto"/>
          <w:sz w:val="32"/>
          <w:szCs w:val="32"/>
        </w:rPr>
        <w:t>Examples of</w:t>
      </w:r>
      <w:r w:rsidRPr="00D577EC">
        <w:rPr>
          <w:b/>
          <w:bCs/>
          <w:color w:val="auto"/>
          <w:sz w:val="32"/>
          <w:szCs w:val="32"/>
        </w:rPr>
        <w:t xml:space="preserve"> </w:t>
      </w:r>
      <w:r w:rsidR="00254CCF" w:rsidRPr="00D577EC">
        <w:rPr>
          <w:b/>
          <w:bCs/>
          <w:color w:val="auto"/>
          <w:sz w:val="32"/>
          <w:szCs w:val="32"/>
        </w:rPr>
        <w:t xml:space="preserve">possible </w:t>
      </w:r>
      <w:r w:rsidRPr="00D577EC">
        <w:rPr>
          <w:b/>
          <w:bCs/>
          <w:color w:val="auto"/>
          <w:sz w:val="32"/>
          <w:szCs w:val="32"/>
        </w:rPr>
        <w:t>questions are:</w:t>
      </w:r>
    </w:p>
    <w:p w14:paraId="351A63A3" w14:textId="6117C896" w:rsidR="00396B6E" w:rsidRPr="00D577EC" w:rsidRDefault="00396B6E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>Where can tenants find out more information about the process and the timing?</w:t>
      </w:r>
    </w:p>
    <w:p w14:paraId="506D373C" w14:textId="77777777" w:rsidR="00396B6E" w:rsidRPr="00D577EC" w:rsidRDefault="00396B6E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 xml:space="preserve">Do I have a new Landlord? </w:t>
      </w:r>
    </w:p>
    <w:p w14:paraId="08ECDC88" w14:textId="77777777" w:rsidR="00396B6E" w:rsidRPr="00D577EC" w:rsidRDefault="00396B6E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 xml:space="preserve">Will my rent increase? </w:t>
      </w:r>
    </w:p>
    <w:p w14:paraId="01D4F7D2" w14:textId="24DCB123" w:rsidR="00396B6E" w:rsidRPr="00D577EC" w:rsidRDefault="00396B6E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>Are there tenant protections for tenants who will have to move when the building is sold?</w:t>
      </w:r>
    </w:p>
    <w:p w14:paraId="7E87C676" w14:textId="2FC07DE8" w:rsidR="002C464D" w:rsidRPr="006C1D4A" w:rsidRDefault="001B2C87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 xml:space="preserve">How can I and my </w:t>
      </w:r>
      <w:r w:rsidR="00254CCF" w:rsidRPr="00D577EC">
        <w:rPr>
          <w:color w:val="auto"/>
          <w:sz w:val="28"/>
          <w:szCs w:val="28"/>
        </w:rPr>
        <w:t xml:space="preserve">fellow tenants </w:t>
      </w:r>
      <w:r w:rsidRPr="00D577EC">
        <w:rPr>
          <w:color w:val="auto"/>
          <w:sz w:val="28"/>
          <w:szCs w:val="28"/>
        </w:rPr>
        <w:t xml:space="preserve">buy the building? </w:t>
      </w:r>
    </w:p>
    <w:sectPr w:rsidR="002C464D" w:rsidRPr="006C1D4A" w:rsidSect="000255F1">
      <w:headerReference w:type="first" r:id="rId12"/>
      <w:footerReference w:type="first" r:id="rId13"/>
      <w:pgSz w:w="12240" w:h="20160" w:code="5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D679" w14:textId="77777777" w:rsidR="00AB62E4" w:rsidRDefault="00AB62E4" w:rsidP="00A30A6F">
      <w:r>
        <w:separator/>
      </w:r>
    </w:p>
  </w:endnote>
  <w:endnote w:type="continuationSeparator" w:id="0">
    <w:p w14:paraId="35FFAE91" w14:textId="77777777" w:rsidR="00AB62E4" w:rsidRDefault="00AB62E4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C70E" w14:textId="77777777" w:rsidR="003C2353" w:rsidRPr="00AC5D35" w:rsidRDefault="00AC5D35" w:rsidP="00AC5D35">
    <w:pPr>
      <w:pStyle w:val="Footer"/>
      <w:ind w:left="-907" w:right="-907"/>
      <w:jc w:val="center"/>
      <w:rPr>
        <w:color w:val="262626" w:themeColor="text1" w:themeTint="D9"/>
        <w:spacing w:val="1"/>
        <w:sz w:val="18"/>
      </w:rPr>
    </w:pPr>
    <w:r w:rsidRPr="00AC5D35">
      <w:rPr>
        <w:color w:val="262626" w:themeColor="text1" w:themeTint="D9"/>
        <w:spacing w:val="1"/>
        <w:sz w:val="18"/>
      </w:rPr>
      <w:t>700 Fifth Avenue, Suite 5700  |  PO Box 94725  |  Seatt</w:t>
    </w:r>
    <w:r w:rsidR="008963B9">
      <w:rPr>
        <w:color w:val="262626" w:themeColor="text1" w:themeTint="D9"/>
        <w:spacing w:val="1"/>
        <w:sz w:val="18"/>
      </w:rPr>
      <w:t xml:space="preserve">le, WA 98124-4725  |  206-684-0721  |  housing@seattle.gov  |  </w:t>
    </w:r>
    <w:r w:rsidRPr="00AC5D35">
      <w:rPr>
        <w:color w:val="262626" w:themeColor="text1" w:themeTint="D9"/>
        <w:spacing w:val="1"/>
        <w:sz w:val="18"/>
      </w:rPr>
      <w:t>seattle.gov/housing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58C4" w14:textId="77777777" w:rsidR="00AB62E4" w:rsidRDefault="00AB62E4" w:rsidP="00A30A6F">
      <w:r>
        <w:separator/>
      </w:r>
    </w:p>
  </w:footnote>
  <w:footnote w:type="continuationSeparator" w:id="0">
    <w:p w14:paraId="31992364" w14:textId="77777777" w:rsidR="00AB62E4" w:rsidRDefault="00AB62E4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7873" w14:textId="272ED5CC" w:rsidR="00B64D50" w:rsidRPr="00AC5D35" w:rsidRDefault="00057B3B" w:rsidP="00A30A6F">
    <w:pPr>
      <w:pStyle w:val="Header"/>
      <w:rPr>
        <w:rFonts w:asciiTheme="minorHAnsi" w:hAnsiTheme="minorHAnsi"/>
        <w:sz w:val="16"/>
      </w:rPr>
    </w:pPr>
    <w:r>
      <w:rPr>
        <w:rFonts w:asciiTheme="minorHAnsi" w:hAnsiTheme="minorHAnsi"/>
        <w:noProof/>
        <w:sz w:val="16"/>
      </w:rPr>
      <w:drawing>
        <wp:anchor distT="0" distB="0" distL="114300" distR="114300" simplePos="0" relativeHeight="251666432" behindDoc="1" locked="0" layoutInCell="1" allowOverlap="1" wp14:anchorId="1185778B" wp14:editId="4847C5D2">
          <wp:simplePos x="0" y="0"/>
          <wp:positionH relativeFrom="column">
            <wp:posOffset>-917575</wp:posOffset>
          </wp:positionH>
          <wp:positionV relativeFrom="paragraph">
            <wp:posOffset>-447675</wp:posOffset>
          </wp:positionV>
          <wp:extent cx="2479675" cy="914400"/>
          <wp:effectExtent l="0" t="0" r="0" b="0"/>
          <wp:wrapTight wrapText="bothSides">
            <wp:wrapPolygon edited="0">
              <wp:start x="3319" y="4050"/>
              <wp:lineTo x="2323" y="6300"/>
              <wp:lineTo x="1493" y="9450"/>
              <wp:lineTo x="1659" y="12600"/>
              <wp:lineTo x="2987" y="16200"/>
              <wp:lineTo x="3153" y="17100"/>
              <wp:lineTo x="4646" y="17100"/>
              <wp:lineTo x="18419" y="16200"/>
              <wp:lineTo x="20245" y="15750"/>
              <wp:lineTo x="20079" y="9900"/>
              <wp:lineTo x="10952" y="5850"/>
              <wp:lineTo x="4480" y="4050"/>
              <wp:lineTo x="3319" y="405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using_horizontal_blue-black_digit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1E6603"/>
    <w:multiLevelType w:val="hybridMultilevel"/>
    <w:tmpl w:val="4E3C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5811"/>
    <w:multiLevelType w:val="hybridMultilevel"/>
    <w:tmpl w:val="7190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06"/>
    <w:rsid w:val="00017791"/>
    <w:rsid w:val="000255F1"/>
    <w:rsid w:val="00027875"/>
    <w:rsid w:val="000301F4"/>
    <w:rsid w:val="00057B3B"/>
    <w:rsid w:val="00066483"/>
    <w:rsid w:val="00091299"/>
    <w:rsid w:val="000B2927"/>
    <w:rsid w:val="000B33DF"/>
    <w:rsid w:val="000B5F09"/>
    <w:rsid w:val="000C5B8F"/>
    <w:rsid w:val="000E57E1"/>
    <w:rsid w:val="000F2C02"/>
    <w:rsid w:val="00111153"/>
    <w:rsid w:val="001148B8"/>
    <w:rsid w:val="00115889"/>
    <w:rsid w:val="00121F3D"/>
    <w:rsid w:val="0012536F"/>
    <w:rsid w:val="00131ABE"/>
    <w:rsid w:val="00150415"/>
    <w:rsid w:val="00150E8C"/>
    <w:rsid w:val="001528D2"/>
    <w:rsid w:val="00182517"/>
    <w:rsid w:val="00187A06"/>
    <w:rsid w:val="00195364"/>
    <w:rsid w:val="001B023A"/>
    <w:rsid w:val="001B2C87"/>
    <w:rsid w:val="001B5801"/>
    <w:rsid w:val="001E2A66"/>
    <w:rsid w:val="00206FA9"/>
    <w:rsid w:val="00226D38"/>
    <w:rsid w:val="00233B80"/>
    <w:rsid w:val="00233ED8"/>
    <w:rsid w:val="00244654"/>
    <w:rsid w:val="00254CCF"/>
    <w:rsid w:val="002677BA"/>
    <w:rsid w:val="002B204B"/>
    <w:rsid w:val="002C464D"/>
    <w:rsid w:val="002D76EA"/>
    <w:rsid w:val="002E107E"/>
    <w:rsid w:val="002E3C49"/>
    <w:rsid w:val="002F63C6"/>
    <w:rsid w:val="00306CBA"/>
    <w:rsid w:val="00311871"/>
    <w:rsid w:val="00313DF5"/>
    <w:rsid w:val="00332CBE"/>
    <w:rsid w:val="00335240"/>
    <w:rsid w:val="00342E47"/>
    <w:rsid w:val="00344381"/>
    <w:rsid w:val="00383BD4"/>
    <w:rsid w:val="00396B6E"/>
    <w:rsid w:val="003A4401"/>
    <w:rsid w:val="003C2353"/>
    <w:rsid w:val="003C2F93"/>
    <w:rsid w:val="003E181C"/>
    <w:rsid w:val="00433177"/>
    <w:rsid w:val="004458A2"/>
    <w:rsid w:val="00446771"/>
    <w:rsid w:val="00461DDD"/>
    <w:rsid w:val="004909A0"/>
    <w:rsid w:val="004A4E10"/>
    <w:rsid w:val="004B1F64"/>
    <w:rsid w:val="004C22CF"/>
    <w:rsid w:val="004D63E0"/>
    <w:rsid w:val="004D7DAC"/>
    <w:rsid w:val="0053427E"/>
    <w:rsid w:val="00540814"/>
    <w:rsid w:val="00552F86"/>
    <w:rsid w:val="0055790E"/>
    <w:rsid w:val="00564ED0"/>
    <w:rsid w:val="00575B64"/>
    <w:rsid w:val="005A01A4"/>
    <w:rsid w:val="005A2833"/>
    <w:rsid w:val="005A6C6D"/>
    <w:rsid w:val="005D52F6"/>
    <w:rsid w:val="005E0391"/>
    <w:rsid w:val="005E50DF"/>
    <w:rsid w:val="005F0B4B"/>
    <w:rsid w:val="005F562D"/>
    <w:rsid w:val="00606584"/>
    <w:rsid w:val="00612D6C"/>
    <w:rsid w:val="0064520F"/>
    <w:rsid w:val="0068291A"/>
    <w:rsid w:val="006A72B5"/>
    <w:rsid w:val="006C1D4A"/>
    <w:rsid w:val="006D6372"/>
    <w:rsid w:val="006E243B"/>
    <w:rsid w:val="006F77EE"/>
    <w:rsid w:val="007325AE"/>
    <w:rsid w:val="00742CDA"/>
    <w:rsid w:val="00764593"/>
    <w:rsid w:val="007712D2"/>
    <w:rsid w:val="00774E13"/>
    <w:rsid w:val="00785B10"/>
    <w:rsid w:val="00791316"/>
    <w:rsid w:val="007D3DD1"/>
    <w:rsid w:val="00804E6A"/>
    <w:rsid w:val="00816D7E"/>
    <w:rsid w:val="00856D04"/>
    <w:rsid w:val="00860EC0"/>
    <w:rsid w:val="00867934"/>
    <w:rsid w:val="008963B9"/>
    <w:rsid w:val="008A51AB"/>
    <w:rsid w:val="008C0C18"/>
    <w:rsid w:val="008C0F37"/>
    <w:rsid w:val="008C5B80"/>
    <w:rsid w:val="008D7E4B"/>
    <w:rsid w:val="009003B6"/>
    <w:rsid w:val="00913F11"/>
    <w:rsid w:val="00932947"/>
    <w:rsid w:val="00946A60"/>
    <w:rsid w:val="00953895"/>
    <w:rsid w:val="009D27C2"/>
    <w:rsid w:val="009F366D"/>
    <w:rsid w:val="00A15820"/>
    <w:rsid w:val="00A22521"/>
    <w:rsid w:val="00A22B82"/>
    <w:rsid w:val="00A30A6F"/>
    <w:rsid w:val="00A46E23"/>
    <w:rsid w:val="00A5175D"/>
    <w:rsid w:val="00A82A1D"/>
    <w:rsid w:val="00A91F49"/>
    <w:rsid w:val="00AB62E4"/>
    <w:rsid w:val="00AC5D35"/>
    <w:rsid w:val="00AD3B27"/>
    <w:rsid w:val="00AF12C3"/>
    <w:rsid w:val="00B0790E"/>
    <w:rsid w:val="00B41E83"/>
    <w:rsid w:val="00B42539"/>
    <w:rsid w:val="00B64D50"/>
    <w:rsid w:val="00B720BB"/>
    <w:rsid w:val="00BB71AB"/>
    <w:rsid w:val="00C122AF"/>
    <w:rsid w:val="00C401CD"/>
    <w:rsid w:val="00C44521"/>
    <w:rsid w:val="00C80CE2"/>
    <w:rsid w:val="00CA2272"/>
    <w:rsid w:val="00CA24F0"/>
    <w:rsid w:val="00CA2E40"/>
    <w:rsid w:val="00CB4DAF"/>
    <w:rsid w:val="00CE4ABA"/>
    <w:rsid w:val="00D042AF"/>
    <w:rsid w:val="00D43E60"/>
    <w:rsid w:val="00D577EC"/>
    <w:rsid w:val="00D70CC5"/>
    <w:rsid w:val="00E018CE"/>
    <w:rsid w:val="00E06049"/>
    <w:rsid w:val="00E41961"/>
    <w:rsid w:val="00E55B9B"/>
    <w:rsid w:val="00E873FD"/>
    <w:rsid w:val="00F0025E"/>
    <w:rsid w:val="00F22CE0"/>
    <w:rsid w:val="00F47A13"/>
    <w:rsid w:val="00F530AE"/>
    <w:rsid w:val="00F83952"/>
    <w:rsid w:val="00FB3658"/>
    <w:rsid w:val="00FB6D8D"/>
    <w:rsid w:val="00FD0195"/>
    <w:rsid w:val="00FD3694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DCA302"/>
  <w15:docId w15:val="{E0550EEC-BDB4-4929-A8DE-61B41186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C80CE2"/>
    <w:pPr>
      <w:keepNext/>
      <w:spacing w:after="120"/>
      <w:jc w:val="center"/>
    </w:pPr>
    <w:rPr>
      <w:rFonts w:ascii="Calibri Light" w:hAnsi="Calibri Light"/>
      <w:bCs/>
      <w:color w:val="000000" w:themeColor="text1"/>
      <w:sz w:val="56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C80CE2"/>
    <w:rPr>
      <w:rFonts w:ascii="Calibri Light" w:hAnsi="Calibri Light" w:cs="Arial"/>
      <w:bCs/>
      <w:color w:val="000000" w:themeColor="text1"/>
      <w:sz w:val="56"/>
      <w:szCs w:val="28"/>
    </w:rPr>
  </w:style>
  <w:style w:type="paragraph" w:styleId="Subtitle">
    <w:name w:val="Subtitle"/>
    <w:basedOn w:val="Default"/>
    <w:next w:val="Normal"/>
    <w:link w:val="SubtitleChar"/>
    <w:uiPriority w:val="5"/>
    <w:qFormat/>
    <w:rsid w:val="00E018CE"/>
    <w:pPr>
      <w:jc w:val="center"/>
    </w:pPr>
    <w:rPr>
      <w:rFonts w:ascii="Calibri" w:hAnsi="Calibri"/>
      <w:iCs/>
      <w:color w:val="003DA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E018CE"/>
    <w:rPr>
      <w:rFonts w:ascii="Calibri" w:hAnsi="Calibri" w:cs="Arial"/>
      <w:iCs/>
      <w:color w:val="003DA5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E018CE"/>
    <w:pPr>
      <w:keepNext/>
      <w:spacing w:before="240" w:after="120"/>
    </w:pPr>
    <w:rPr>
      <w:rFonts w:ascii="Calibri Light" w:hAnsi="Calibri Light"/>
      <w:color w:val="003DA5"/>
      <w:sz w:val="44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E018CE"/>
    <w:rPr>
      <w:rFonts w:ascii="Calibri Light" w:hAnsi="Calibri Light" w:cs="Arial"/>
      <w:color w:val="003DA5"/>
      <w:sz w:val="44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GomezJ1\AppData\Local\Microsoft\Windows\INetCache\Content.Outlook\VFJ0FL41\IntentToSell@seattl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attle.gov/housing/intent-to-se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ezJ1\Desktop\1on1%20wEmi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614F2-D65B-4581-AB0B-066BA28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1on1 wEmily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Gomez, Jessica</dc:creator>
  <cp:lastModifiedBy>Gomez, Jessica</cp:lastModifiedBy>
  <cp:revision>2</cp:revision>
  <cp:lastPrinted>2019-08-02T16:17:00Z</cp:lastPrinted>
  <dcterms:created xsi:type="dcterms:W3CDTF">2019-10-29T21:12:00Z</dcterms:created>
  <dcterms:modified xsi:type="dcterms:W3CDTF">2019-10-29T21:12:00Z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